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65BE0E1">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eastAsia="仿宋"/>
          <w:sz w:val="32"/>
          <w:szCs w:val="32"/>
        </w:rPr>
      </w:pPr>
    </w:p>
    <w:p w14:paraId="5AB52A7C">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eastAsia="仿宋"/>
          <w:sz w:val="32"/>
          <w:szCs w:val="32"/>
        </w:rPr>
      </w:pPr>
    </w:p>
    <w:p w14:paraId="50185BB7">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eastAsia="仿宋"/>
          <w:sz w:val="32"/>
          <w:szCs w:val="32"/>
        </w:rPr>
      </w:pPr>
    </w:p>
    <w:p w14:paraId="530056E0">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eastAsia="仿宋"/>
          <w:sz w:val="32"/>
          <w:szCs w:val="32"/>
        </w:rPr>
      </w:pPr>
    </w:p>
    <w:p w14:paraId="023C0A04">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_GB2312" w:eastAsia="仿宋_GB2312"/>
          <w:sz w:val="32"/>
          <w:szCs w:val="32"/>
        </w:rPr>
      </w:pPr>
      <w:r>
        <w:rPr>
          <w:rFonts w:hint="eastAsia" w:ascii="仿宋_GB2312" w:eastAsia="仿宋_GB2312"/>
          <w:sz w:val="32"/>
          <w:szCs w:val="32"/>
        </w:rPr>
        <w:t>协院创〔202</w:t>
      </w:r>
      <w:r>
        <w:rPr>
          <w:rFonts w:hint="eastAsia" w:ascii="仿宋_GB2312" w:eastAsia="仿宋_GB2312"/>
          <w:sz w:val="32"/>
          <w:szCs w:val="32"/>
          <w:lang w:val="en-US" w:eastAsia="zh-CN"/>
        </w:rPr>
        <w:t>5</w:t>
      </w:r>
      <w:r>
        <w:rPr>
          <w:rFonts w:hint="eastAsia" w:ascii="仿宋_GB2312" w:eastAsia="仿宋_GB2312"/>
          <w:sz w:val="32"/>
          <w:szCs w:val="32"/>
        </w:rPr>
        <w:t>〕</w:t>
      </w:r>
      <w:r>
        <w:rPr>
          <w:rFonts w:hint="eastAsia" w:ascii="仿宋_GB2312" w:eastAsia="仿宋_GB2312"/>
          <w:sz w:val="32"/>
          <w:szCs w:val="32"/>
          <w:lang w:val="en-US" w:eastAsia="zh-CN"/>
        </w:rPr>
        <w:t>26</w:t>
      </w:r>
      <w:r>
        <w:rPr>
          <w:rFonts w:hint="eastAsia" w:ascii="仿宋_GB2312" w:eastAsia="仿宋_GB2312"/>
          <w:sz w:val="32"/>
          <w:szCs w:val="32"/>
        </w:rPr>
        <w:t>号</w:t>
      </w:r>
    </w:p>
    <w:p w14:paraId="0114A95D">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eastAsia="仿宋"/>
          <w:sz w:val="30"/>
          <w:szCs w:val="30"/>
        </w:rPr>
      </w:pPr>
    </w:p>
    <w:p w14:paraId="78C2545D">
      <w:pPr>
        <w:jc w:val="center"/>
        <w:rPr>
          <w:rFonts w:hint="eastAsia"/>
          <w:sz w:val="44"/>
          <w:szCs w:val="44"/>
        </w:rPr>
      </w:pPr>
    </w:p>
    <w:p w14:paraId="1CE4AA52">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简体" w:hAnsi="Times New Roman" w:eastAsia="方正小标宋简体" w:cs="Times New Roman"/>
          <w:sz w:val="44"/>
          <w:szCs w:val="44"/>
        </w:rPr>
      </w:pPr>
      <w:r>
        <w:rPr>
          <w:rFonts w:hint="eastAsia" w:ascii="方正小标宋简体" w:hAnsi="Times New Roman" w:eastAsia="方正小标宋简体" w:cs="Times New Roman"/>
          <w:sz w:val="44"/>
          <w:szCs w:val="44"/>
        </w:rPr>
        <w:t>关于举办2025年第九届一带一路暨金砖国家技能发展与技术创新大赛（第一批）校级选拔赛的通知</w:t>
      </w:r>
    </w:p>
    <w:p w14:paraId="319C6C71">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简体" w:hAnsi="Times New Roman" w:eastAsia="方正小标宋简体" w:cs="Times New Roman"/>
          <w:sz w:val="44"/>
          <w:szCs w:val="44"/>
        </w:rPr>
      </w:pPr>
    </w:p>
    <w:p w14:paraId="396A00ED">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各系、国际教育学院：</w:t>
      </w:r>
    </w:p>
    <w:p w14:paraId="507EE080">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根据《2025第九届一带一路暨金砖国家技能发展与技术创新大赛（第一批）赛项参赛报名通知》（金砖赛组委会函〔2025〕050号）为适应数字经济时代互联网发展新趋势，促进产教融合，提升学生未来技术技能培养“工业4.0”为核心的高技能水平人才，经研究，决定举办我院第九届一带一路暨金砖国家技能发展与技术创新大赛（第一批）校级选拔赛。现将有关事项通知如下：</w:t>
      </w:r>
    </w:p>
    <w:p w14:paraId="636F39EB">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黑体" w:hAnsi="黑体" w:eastAsia="黑体" w:cs="Times New Roman"/>
          <w:sz w:val="32"/>
          <w:szCs w:val="32"/>
          <w:shd w:val="clear" w:color="auto" w:fill="FFFFFF"/>
          <w:lang w:val="en-US" w:eastAsia="zh-CN" w:bidi="ar-SA"/>
        </w:rPr>
      </w:pPr>
      <w:r>
        <w:rPr>
          <w:rFonts w:hint="eastAsia" w:ascii="黑体" w:hAnsi="黑体" w:eastAsia="黑体" w:cs="Times New Roman"/>
          <w:sz w:val="32"/>
          <w:szCs w:val="32"/>
          <w:shd w:val="clear" w:color="auto" w:fill="FFFFFF"/>
          <w:lang w:val="en-US" w:eastAsia="zh-CN" w:bidi="ar-SA"/>
        </w:rPr>
        <w:t>一、组织机构</w:t>
      </w:r>
    </w:p>
    <w:p w14:paraId="2CE8F79F">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主办单位：福建师范大学协和学院创新创业学院</w:t>
      </w:r>
    </w:p>
    <w:p w14:paraId="4D00B9D4">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承办单位：福建师范大学协和学院国际商学系</w:t>
      </w:r>
    </w:p>
    <w:p w14:paraId="672DE7B6">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黑体" w:hAnsi="黑体" w:eastAsia="黑体" w:cs="Times New Roman"/>
          <w:sz w:val="32"/>
          <w:szCs w:val="32"/>
          <w:shd w:val="clear" w:color="auto" w:fill="FFFFFF"/>
          <w:lang w:val="en-US" w:eastAsia="zh-CN" w:bidi="ar-SA"/>
        </w:rPr>
      </w:pPr>
      <w:r>
        <w:rPr>
          <w:rFonts w:hint="eastAsia" w:ascii="黑体" w:hAnsi="黑体" w:eastAsia="黑体" w:cs="Times New Roman"/>
          <w:sz w:val="32"/>
          <w:szCs w:val="32"/>
          <w:shd w:val="clear" w:color="auto" w:fill="FFFFFF"/>
          <w:lang w:val="en-US" w:eastAsia="zh-CN" w:bidi="ar-SA"/>
        </w:rPr>
        <w:t>二、参赛对象</w:t>
      </w:r>
    </w:p>
    <w:p w14:paraId="446AAB48">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参赛对象为全院在校学生，竞赛为团体赛形式，具体团队成员以及指导老师数量具体以附件1、2、3中的赛项技术规程为准。学生可跨专业组队，不可跨校组队，不可同时参加多个团队。</w:t>
      </w:r>
    </w:p>
    <w:p w14:paraId="179079CE">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黑体" w:hAnsi="黑体" w:eastAsia="黑体" w:cs="Times New Roman"/>
          <w:sz w:val="32"/>
          <w:szCs w:val="32"/>
          <w:shd w:val="clear" w:color="auto" w:fill="FFFFFF"/>
          <w:lang w:val="en-US" w:eastAsia="zh-CN" w:bidi="ar-SA"/>
        </w:rPr>
      </w:pPr>
      <w:r>
        <w:rPr>
          <w:rFonts w:hint="eastAsia" w:ascii="黑体" w:hAnsi="黑体" w:eastAsia="黑体" w:cs="Times New Roman"/>
          <w:sz w:val="32"/>
          <w:szCs w:val="32"/>
          <w:shd w:val="clear" w:color="auto" w:fill="FFFFFF"/>
          <w:lang w:val="en-US" w:eastAsia="zh-CN" w:bidi="ar-SA"/>
        </w:rPr>
        <w:t>三、竞赛日程</w:t>
      </w:r>
    </w:p>
    <w:p w14:paraId="22FD81E2">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val="en-US" w:eastAsia="zh-CN" w:bidi="ar-SA"/>
        </w:rPr>
      </w:pPr>
      <w:r>
        <w:rPr>
          <w:rFonts w:hint="eastAsia" w:ascii="仿宋_GB2312" w:hAnsi="仿宋" w:eastAsia="仿宋_GB2312" w:cs="仿宋"/>
          <w:sz w:val="32"/>
          <w:szCs w:val="32"/>
          <w:shd w:val="clear" w:color="auto" w:fill="FFFFFF"/>
          <w:lang w:val="en-US" w:eastAsia="zh-CN" w:bidi="ar-SA"/>
        </w:rPr>
        <w:t>参与赛道：数智化创新创业赛项、大数据分析应用与决策赛项、大数据财务应用与管理会计决策三个赛道。</w:t>
      </w:r>
    </w:p>
    <w:p w14:paraId="5C8507CA">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（一）报名时间：</w:t>
      </w:r>
    </w:p>
    <w:p w14:paraId="0B1965FC">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数智化创新创业赛项：即日起至2025年6月3日</w:t>
      </w:r>
    </w:p>
    <w:p w14:paraId="5918145F">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大数据分析应用与决策赛项：即日起至2025年6月20日</w:t>
      </w:r>
    </w:p>
    <w:p w14:paraId="5BFE51ED">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大数据财务应用与管理会计决策赛项：即日起至2025年6月20</w:t>
      </w:r>
      <w:bookmarkStart w:id="0" w:name="_GoBack"/>
      <w:bookmarkEnd w:id="0"/>
      <w:r>
        <w:rPr>
          <w:rFonts w:hint="eastAsia" w:ascii="仿宋_GB2312" w:hAnsi="仿宋" w:eastAsia="仿宋_GB2312" w:cs="仿宋"/>
          <w:sz w:val="32"/>
          <w:szCs w:val="32"/>
          <w:shd w:val="clear" w:color="auto" w:fill="FFFFFF"/>
          <w:lang w:bidi="ar-SA"/>
        </w:rPr>
        <w:t>日</w:t>
      </w:r>
    </w:p>
    <w:p w14:paraId="1C8A9B9B">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（二）校赛选拔时间：</w:t>
      </w:r>
    </w:p>
    <w:p w14:paraId="5BAA1E51">
      <w:pPr>
        <w:widowControl/>
        <w:ind w:firstLine="640" w:firstLineChars="200"/>
        <w:rPr>
          <w:rFonts w:ascii="宋体" w:hAnsi="宋体" w:cs="宋体"/>
          <w:sz w:val="28"/>
          <w:szCs w:val="28"/>
        </w:rPr>
      </w:pPr>
      <w:r>
        <w:rPr>
          <w:rFonts w:hint="eastAsia" w:ascii="仿宋_GB2312" w:hAnsi="仿宋" w:eastAsia="仿宋_GB2312" w:cs="仿宋"/>
          <w:kern w:val="0"/>
          <w:sz w:val="32"/>
          <w:szCs w:val="32"/>
          <w:shd w:val="clear" w:color="auto" w:fill="FFFFFF"/>
          <w:lang w:val="en-US" w:eastAsia="zh-CN" w:bidi="ar-SA"/>
        </w:rPr>
        <w:t>2025年6-8月（具体时间另行通知）。选拔形式将以知识赛形式进行</w:t>
      </w:r>
      <w:r>
        <w:rPr>
          <w:rFonts w:hint="eastAsia" w:ascii="宋体" w:hAnsi="宋体" w:cs="宋体"/>
          <w:sz w:val="28"/>
          <w:szCs w:val="28"/>
        </w:rPr>
        <w:t>。</w:t>
      </w:r>
    </w:p>
    <w:p w14:paraId="41D43840">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（三）赛事技术规程</w:t>
      </w:r>
    </w:p>
    <w:p w14:paraId="5437B294">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val="en-US" w:eastAsia="zh-CN" w:bidi="ar-SA"/>
        </w:rPr>
      </w:pPr>
      <w:r>
        <w:rPr>
          <w:rFonts w:hint="eastAsia" w:ascii="仿宋_GB2312" w:hAnsi="仿宋" w:eastAsia="仿宋_GB2312" w:cs="仿宋"/>
          <w:sz w:val="32"/>
          <w:szCs w:val="32"/>
          <w:shd w:val="clear" w:color="auto" w:fill="FFFFFF"/>
          <w:lang w:val="en-US" w:eastAsia="zh-CN" w:bidi="ar-SA"/>
        </w:rPr>
        <w:t>数智化创新创业具体见：附件1.2025一带一路暨金砖大赛大数据分析应用与决策赛项技术规程；</w:t>
      </w:r>
    </w:p>
    <w:p w14:paraId="13D903FC">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大数据分析应用与决策赛项具体见：附件2.2025一带一路暨金砖大赛之大数据财务应用与管理会计决策赛项技术规程；</w:t>
      </w:r>
    </w:p>
    <w:p w14:paraId="66E519F9">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大数据财务应用与管理会计决策赛项具体见：附件3.2025一带一路暨金砖大赛之数智化创新创业赛项技术规程。</w:t>
      </w:r>
    </w:p>
    <w:p w14:paraId="5D5708AF">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宋体" w:hAnsi="宋体" w:cs="宋体"/>
          <w:sz w:val="28"/>
          <w:szCs w:val="28"/>
        </w:rPr>
      </w:pPr>
      <w:r>
        <w:rPr>
          <w:rFonts w:hint="eastAsia" w:ascii="黑体" w:hAnsi="黑体" w:eastAsia="黑体" w:cs="Times New Roman"/>
          <w:kern w:val="0"/>
          <w:sz w:val="32"/>
          <w:szCs w:val="32"/>
          <w:shd w:val="clear" w:color="auto" w:fill="FFFFFF"/>
          <w:lang w:val="en-US" w:eastAsia="zh-CN" w:bidi="ar-SA"/>
        </w:rPr>
        <w:t>四、报名方式</w:t>
      </w:r>
    </w:p>
    <w:p w14:paraId="34CFE66A">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val="en-US" w:eastAsia="zh-CN" w:bidi="ar-SA"/>
        </w:rPr>
        <w:t>1、</w:t>
      </w:r>
      <w:r>
        <w:rPr>
          <w:rFonts w:hint="eastAsia" w:ascii="仿宋_GB2312" w:hAnsi="仿宋" w:eastAsia="仿宋_GB2312" w:cs="仿宋"/>
          <w:sz w:val="32"/>
          <w:szCs w:val="32"/>
          <w:shd w:val="clear" w:color="auto" w:fill="FFFFFF"/>
          <w:lang w:bidi="ar-SA"/>
        </w:rPr>
        <w:t>参赛团队于请扫描下方二维码，在线填写预报名表。</w:t>
      </w:r>
    </w:p>
    <w:p w14:paraId="635C9D2C">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val="en-US" w:eastAsia="zh-CN" w:bidi="ar-SA"/>
        </w:rPr>
        <w:t>2、</w:t>
      </w:r>
      <w:r>
        <w:rPr>
          <w:rFonts w:hint="eastAsia" w:ascii="仿宋_GB2312" w:hAnsi="仿宋" w:eastAsia="仿宋_GB2312" w:cs="仿宋"/>
          <w:sz w:val="32"/>
          <w:szCs w:val="32"/>
          <w:shd w:val="clear" w:color="auto" w:fill="FFFFFF"/>
          <w:lang w:bidi="ar-SA"/>
        </w:rPr>
        <w:t>报名的各队伍可以先进入附件赛项规程中相应的群组进行练习。</w:t>
      </w:r>
    </w:p>
    <w:p w14:paraId="0818F81F">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val="en-US" w:eastAsia="zh-CN" w:bidi="ar-SA"/>
        </w:rPr>
        <w:t>3、</w:t>
      </w:r>
      <w:r>
        <w:rPr>
          <w:rFonts w:hint="eastAsia" w:ascii="仿宋_GB2312" w:hAnsi="仿宋" w:eastAsia="仿宋_GB2312" w:cs="仿宋"/>
          <w:sz w:val="32"/>
          <w:szCs w:val="32"/>
          <w:shd w:val="clear" w:color="auto" w:fill="FFFFFF"/>
          <w:lang w:bidi="ar-SA"/>
        </w:rPr>
        <w:t>参赛团队请同时扫描下方二维码进入报名群，并注意群内消息通知。</w:t>
      </w:r>
    </w:p>
    <w:p w14:paraId="6CC17192">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val="en-US" w:eastAsia="zh-CN" w:bidi="ar-SA"/>
        </w:rPr>
        <w:t>4、</w:t>
      </w:r>
      <w:r>
        <w:rPr>
          <w:rFonts w:hint="eastAsia" w:ascii="仿宋_GB2312" w:hAnsi="仿宋" w:eastAsia="仿宋_GB2312" w:cs="仿宋"/>
          <w:sz w:val="32"/>
          <w:szCs w:val="32"/>
          <w:shd w:val="clear" w:color="auto" w:fill="FFFFFF"/>
          <w:lang w:bidi="ar-SA"/>
        </w:rPr>
        <w:t>校赛成绩公布后方可进入指定官网进行报名。</w:t>
      </w:r>
    </w:p>
    <w:p w14:paraId="37099408">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黑体" w:hAnsi="黑体" w:eastAsia="黑体" w:cs="Times New Roman"/>
          <w:sz w:val="32"/>
          <w:szCs w:val="32"/>
          <w:shd w:val="clear" w:color="auto" w:fill="FFFFFF"/>
          <w:lang w:val="en-US" w:eastAsia="zh-CN" w:bidi="ar-SA"/>
        </w:rPr>
      </w:pPr>
      <w:r>
        <w:rPr>
          <w:rFonts w:hint="eastAsia" w:ascii="黑体" w:hAnsi="黑体" w:eastAsia="黑体" w:cs="Times New Roman"/>
          <w:sz w:val="32"/>
          <w:szCs w:val="32"/>
          <w:shd w:val="clear" w:color="auto" w:fill="FFFFFF"/>
          <w:lang w:val="en-US" w:eastAsia="zh-CN" w:bidi="ar-SA"/>
        </w:rPr>
        <w:t>五、预报名表及赛事通知群</w:t>
      </w:r>
    </w:p>
    <w:p w14:paraId="4C745600">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val="en-US" w:eastAsia="zh-CN" w:bidi="ar-SA"/>
        </w:rPr>
        <w:t>1、</w:t>
      </w:r>
      <w:r>
        <w:rPr>
          <w:rFonts w:hint="eastAsia" w:ascii="仿宋_GB2312" w:hAnsi="仿宋" w:eastAsia="仿宋_GB2312" w:cs="仿宋"/>
          <w:sz w:val="32"/>
          <w:szCs w:val="32"/>
          <w:shd w:val="clear" w:color="auto" w:fill="FFFFFF"/>
          <w:lang w:bidi="ar-SA"/>
        </w:rPr>
        <w:t>在线报名链接：</w:t>
      </w:r>
      <w:r>
        <w:rPr>
          <w:rFonts w:hint="eastAsia" w:ascii="仿宋_GB2312" w:hAnsi="仿宋" w:eastAsia="仿宋_GB2312" w:cs="仿宋"/>
          <w:sz w:val="32"/>
          <w:szCs w:val="32"/>
          <w:shd w:val="clear" w:color="auto" w:fill="FFFFFF"/>
          <w:lang w:bidi="ar-SA"/>
        </w:rPr>
        <w:fldChar w:fldCharType="begin"/>
      </w:r>
      <w:r>
        <w:rPr>
          <w:rFonts w:hint="eastAsia" w:ascii="仿宋_GB2312" w:hAnsi="仿宋" w:eastAsia="仿宋_GB2312" w:cs="仿宋"/>
          <w:sz w:val="32"/>
          <w:szCs w:val="32"/>
          <w:shd w:val="clear" w:color="auto" w:fill="FFFFFF"/>
          <w:lang w:bidi="ar-SA"/>
        </w:rPr>
        <w:instrText xml:space="preserve">HYPERLINK "https://kdocs.cn/l/cahkmTwLLHaS"</w:instrText>
      </w:r>
      <w:r>
        <w:rPr>
          <w:rFonts w:hint="eastAsia" w:ascii="仿宋_GB2312" w:hAnsi="仿宋" w:eastAsia="仿宋_GB2312" w:cs="仿宋"/>
          <w:sz w:val="32"/>
          <w:szCs w:val="32"/>
          <w:shd w:val="clear" w:color="auto" w:fill="FFFFFF"/>
          <w:lang w:bidi="ar-SA"/>
        </w:rPr>
        <w:fldChar w:fldCharType="separate"/>
      </w:r>
      <w:r>
        <w:rPr>
          <w:rFonts w:hint="eastAsia" w:ascii="仿宋_GB2312" w:hAnsi="仿宋" w:eastAsia="仿宋_GB2312" w:cs="仿宋"/>
          <w:sz w:val="32"/>
          <w:szCs w:val="32"/>
          <w:shd w:val="clear" w:color="auto" w:fill="FFFFFF"/>
          <w:lang w:bidi="ar-SA"/>
        </w:rPr>
        <w:t>第九届一带一路暨金砖国家技能发展与技术创新大赛（第一批）校级选拔赛报名表</w:t>
      </w:r>
      <w:r>
        <w:rPr>
          <w:rFonts w:hint="eastAsia" w:ascii="仿宋_GB2312" w:hAnsi="仿宋" w:eastAsia="仿宋_GB2312" w:cs="仿宋"/>
          <w:sz w:val="32"/>
          <w:szCs w:val="32"/>
          <w:shd w:val="clear" w:color="auto" w:fill="FFFFFF"/>
          <w:lang w:bidi="ar-SA"/>
        </w:rPr>
        <w:fldChar w:fldCharType="end"/>
      </w:r>
    </w:p>
    <w:p w14:paraId="71D3BDB1">
      <w:pPr>
        <w:widowControl/>
        <w:ind w:firstLine="560" w:firstLineChars="200"/>
        <w:jc w:val="center"/>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2113280" cy="1980565"/>
            <wp:effectExtent l="0" t="0" r="5080" b="635"/>
            <wp:docPr id="1"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图片1"/>
                    <pic:cNvPicPr>
                      <a:picLocks noChangeAspect="1"/>
                    </pic:cNvPicPr>
                  </pic:nvPicPr>
                  <pic:blipFill>
                    <a:blip r:embed="rId4"/>
                    <a:srcRect l="23827" t="9532" r="24815" b="33841"/>
                    <a:stretch>
                      <a:fillRect/>
                    </a:stretch>
                  </pic:blipFill>
                  <pic:spPr>
                    <a:xfrm>
                      <a:off x="0" y="0"/>
                      <a:ext cx="2113280" cy="1980565"/>
                    </a:xfrm>
                    <a:prstGeom prst="rect">
                      <a:avLst/>
                    </a:prstGeom>
                    <a:noFill/>
                    <a:ln>
                      <a:noFill/>
                    </a:ln>
                  </pic:spPr>
                </pic:pic>
              </a:graphicData>
            </a:graphic>
          </wp:inline>
        </w:drawing>
      </w:r>
    </w:p>
    <w:p w14:paraId="0DE8C6DE">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val="en-US" w:eastAsia="zh-CN" w:bidi="ar-SA"/>
        </w:rPr>
        <w:t>2、</w:t>
      </w:r>
      <w:r>
        <w:rPr>
          <w:rFonts w:hint="eastAsia" w:ascii="仿宋_GB2312" w:hAnsi="仿宋" w:eastAsia="仿宋_GB2312" w:cs="仿宋"/>
          <w:sz w:val="32"/>
          <w:szCs w:val="32"/>
          <w:shd w:val="clear" w:color="auto" w:fill="FFFFFF"/>
          <w:lang w:bidi="ar-SA"/>
        </w:rPr>
        <w:t>报名同学进入2025金砖校赛预报名群</w:t>
      </w:r>
    </w:p>
    <w:p w14:paraId="78F0FAA6">
      <w:pPr>
        <w:widowControl/>
        <w:tabs>
          <w:tab w:val="center" w:pos="4363"/>
          <w:tab w:val="left" w:pos="4690"/>
        </w:tabs>
        <w:ind w:firstLine="0" w:firstLineChars="200"/>
        <w:jc w:val="left"/>
        <w:rPr>
          <w:rFonts w:hint="eastAsia" w:ascii="Times New Roman" w:hAnsi="Times New Roman" w:eastAsia="等线"/>
          <w:snapToGrid w:val="0"/>
          <w:color w:val="000000"/>
          <w:w w:val="0"/>
          <w:kern w:val="0"/>
          <w:sz w:val="16"/>
          <w:szCs w:val="0"/>
          <w:u w:val="none" w:color="000000"/>
          <w:shd w:val="clear" w:color="000000" w:fill="000000"/>
        </w:rPr>
      </w:pPr>
    </w:p>
    <w:p w14:paraId="2FB28643">
      <w:pPr>
        <w:widowControl/>
        <w:ind w:firstLine="420" w:firstLineChars="200"/>
        <w:jc w:val="center"/>
        <w:rPr>
          <w:rFonts w:hint="eastAsia" w:eastAsia="宋体"/>
          <w:lang w:eastAsia="zh-CN"/>
        </w:rPr>
      </w:pPr>
      <w:r>
        <w:rPr>
          <w:rFonts w:hint="eastAsia" w:eastAsia="宋体"/>
          <w:lang w:eastAsia="zh-CN"/>
        </w:rPr>
        <w:drawing>
          <wp:inline distT="0" distB="0" distL="114300" distR="114300">
            <wp:extent cx="2689225" cy="3577590"/>
            <wp:effectExtent l="0" t="0" r="8255" b="3810"/>
            <wp:docPr id="2" name="图片 4"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descr="图片2"/>
                    <pic:cNvPicPr>
                      <a:picLocks noChangeAspect="1"/>
                    </pic:cNvPicPr>
                  </pic:nvPicPr>
                  <pic:blipFill>
                    <a:blip r:embed="rId5"/>
                    <a:srcRect l="6233" t="4648" r="7028" b="3467"/>
                    <a:stretch>
                      <a:fillRect/>
                    </a:stretch>
                  </pic:blipFill>
                  <pic:spPr>
                    <a:xfrm>
                      <a:off x="0" y="0"/>
                      <a:ext cx="2689225" cy="3577590"/>
                    </a:xfrm>
                    <a:prstGeom prst="rect">
                      <a:avLst/>
                    </a:prstGeom>
                    <a:noFill/>
                    <a:ln>
                      <a:noFill/>
                    </a:ln>
                  </pic:spPr>
                </pic:pic>
              </a:graphicData>
            </a:graphic>
          </wp:inline>
        </w:drawing>
      </w:r>
    </w:p>
    <w:p w14:paraId="3BFE4D25">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val="en-US" w:eastAsia="zh-CN" w:bidi="ar-SA"/>
        </w:rPr>
        <w:t>3、</w:t>
      </w:r>
      <w:r>
        <w:rPr>
          <w:rFonts w:hint="eastAsia" w:ascii="仿宋_GB2312" w:hAnsi="仿宋" w:eastAsia="仿宋_GB2312" w:cs="仿宋"/>
          <w:sz w:val="32"/>
          <w:szCs w:val="32"/>
          <w:shd w:val="clear" w:color="auto" w:fill="FFFFFF"/>
          <w:lang w:bidi="ar-SA"/>
        </w:rPr>
        <w:t>报名相应赛项同学可进入官方指定qq群，获取最新资讯以及练习平台：</w:t>
      </w:r>
    </w:p>
    <w:p w14:paraId="00C2BD38">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数智化创新创业赛项：1039613565</w:t>
      </w:r>
    </w:p>
    <w:p w14:paraId="0E90E87C">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大数据分析应用与决策赛项：1041697723</w:t>
      </w:r>
    </w:p>
    <w:p w14:paraId="74C26EC5">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大数据财务应用与管理会计决策：见附件2中相应二维码</w:t>
      </w:r>
    </w:p>
    <w:p w14:paraId="2B19D4B6">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黑体" w:hAnsi="黑体" w:eastAsia="黑体" w:cs="Times New Roman"/>
          <w:sz w:val="32"/>
          <w:szCs w:val="32"/>
          <w:shd w:val="clear" w:color="auto" w:fill="FFFFFF"/>
          <w:lang w:val="en-US" w:eastAsia="zh-CN" w:bidi="ar-SA"/>
        </w:rPr>
      </w:pPr>
      <w:r>
        <w:rPr>
          <w:rFonts w:hint="eastAsia" w:ascii="黑体" w:hAnsi="黑体" w:eastAsia="黑体" w:cs="Times New Roman"/>
          <w:sz w:val="32"/>
          <w:szCs w:val="32"/>
          <w:shd w:val="clear" w:color="auto" w:fill="FFFFFF"/>
          <w:lang w:val="en-US" w:eastAsia="zh-CN" w:bidi="ar-SA"/>
        </w:rPr>
        <w:t>六、赛事负责人及联系方式</w:t>
      </w:r>
    </w:p>
    <w:p w14:paraId="6246B190">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周爱国</w:t>
      </w:r>
      <w:r>
        <w:rPr>
          <w:rFonts w:hint="eastAsia" w:ascii="仿宋_GB2312" w:hAnsi="仿宋" w:eastAsia="仿宋_GB2312" w:cs="仿宋"/>
          <w:sz w:val="32"/>
          <w:szCs w:val="32"/>
          <w:shd w:val="clear" w:color="auto" w:fill="FFFFFF"/>
          <w:lang w:eastAsia="zh-CN" w:bidi="ar-SA"/>
        </w:rPr>
        <w:t>（</w:t>
      </w:r>
      <w:r>
        <w:rPr>
          <w:rFonts w:hint="eastAsia" w:ascii="仿宋_GB2312" w:hAnsi="仿宋" w:eastAsia="仿宋_GB2312" w:cs="仿宋"/>
          <w:sz w:val="32"/>
          <w:szCs w:val="32"/>
          <w:shd w:val="clear" w:color="auto" w:fill="FFFFFF"/>
          <w:lang w:val="en-US" w:eastAsia="zh-CN" w:bidi="ar-SA"/>
        </w:rPr>
        <w:t>师</w:t>
      </w:r>
      <w:r>
        <w:rPr>
          <w:rFonts w:hint="eastAsia" w:ascii="仿宋_GB2312" w:hAnsi="仿宋" w:eastAsia="仿宋_GB2312" w:cs="仿宋"/>
          <w:sz w:val="32"/>
          <w:szCs w:val="32"/>
          <w:shd w:val="clear" w:color="auto" w:fill="FFFFFF"/>
          <w:lang w:eastAsia="zh-CN" w:bidi="ar-SA"/>
        </w:rPr>
        <w:t>）</w:t>
      </w:r>
      <w:r>
        <w:rPr>
          <w:rFonts w:hint="eastAsia" w:ascii="仿宋_GB2312" w:hAnsi="仿宋" w:eastAsia="仿宋_GB2312" w:cs="仿宋"/>
          <w:sz w:val="32"/>
          <w:szCs w:val="32"/>
          <w:shd w:val="clear" w:color="auto" w:fill="FFFFFF"/>
          <w:lang w:bidi="ar-SA"/>
        </w:rPr>
        <w:t>：17689225407</w:t>
      </w:r>
    </w:p>
    <w:p w14:paraId="24A78FDD">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陈香利：15117432901</w:t>
      </w:r>
    </w:p>
    <w:p w14:paraId="7E5A7B63">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p>
    <w:p w14:paraId="72AD6E30">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附件1.2025一带一路暨金砖大赛大数据分析应用与决策赛项技术规程</w:t>
      </w:r>
    </w:p>
    <w:p w14:paraId="7B921E44">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附件2.2025一带一路暨金砖大赛之大数据财务应用与管理会计决策赛项技术规程</w:t>
      </w:r>
    </w:p>
    <w:p w14:paraId="1789789D">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ind w:left="0" w:right="0" w:firstLine="640" w:firstLineChars="2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s="仿宋"/>
          <w:sz w:val="32"/>
          <w:szCs w:val="32"/>
          <w:shd w:val="clear" w:color="auto" w:fill="FFFFFF"/>
          <w:lang w:bidi="ar-SA"/>
        </w:rPr>
        <w:t>附件3.2025一带一路暨金砖大赛之数智化创新创业赛项技术规程</w:t>
      </w:r>
    </w:p>
    <w:p w14:paraId="4FE5F270">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textAlignment w:val="auto"/>
        <w:rPr>
          <w:rFonts w:ascii="仿宋_GB2312" w:hAnsi="仿宋" w:eastAsia="仿宋_GB2312" w:cs="仿宋"/>
          <w:sz w:val="32"/>
          <w:szCs w:val="32"/>
          <w:shd w:val="clear" w:color="auto" w:fill="FFFFFF"/>
        </w:rPr>
      </w:pPr>
    </w:p>
    <w:p w14:paraId="090C3818">
      <w:pPr>
        <w:pStyle w:val="6"/>
        <w:keepNext w:val="0"/>
        <w:keepLines w:val="0"/>
        <w:pageBreakBefore w:val="0"/>
        <w:widowControl/>
        <w:shd w:val="clear" w:color="auto" w:fill="FFFFFF"/>
        <w:kinsoku/>
        <w:overflowPunct/>
        <w:topLinePunct w:val="0"/>
        <w:autoSpaceDE/>
        <w:autoSpaceDN/>
        <w:bidi w:val="0"/>
        <w:adjustRightInd/>
        <w:snapToGrid/>
        <w:spacing w:before="0" w:beforeAutospacing="0" w:after="0" w:afterAutospacing="0" w:line="600" w:lineRule="exact"/>
        <w:textAlignment w:val="auto"/>
        <w:rPr>
          <w:rFonts w:ascii="仿宋_GB2312" w:hAnsi="仿宋" w:eastAsia="仿宋_GB2312" w:cs="仿宋"/>
          <w:sz w:val="32"/>
          <w:szCs w:val="32"/>
          <w:shd w:val="clear" w:color="auto" w:fill="FFFFFF"/>
        </w:rPr>
      </w:pPr>
    </w:p>
    <w:p w14:paraId="5D2C1503">
      <w:pPr>
        <w:pStyle w:val="6"/>
        <w:keepNext w:val="0"/>
        <w:keepLines w:val="0"/>
        <w:pageBreakBefore w:val="0"/>
        <w:widowControl/>
        <w:shd w:val="clear" w:color="auto" w:fill="FFFFFF"/>
        <w:tabs>
          <w:tab w:val="left" w:pos="4962"/>
        </w:tabs>
        <w:kinsoku/>
        <w:overflowPunct/>
        <w:topLinePunct w:val="0"/>
        <w:autoSpaceDE/>
        <w:autoSpaceDN/>
        <w:bidi w:val="0"/>
        <w:adjustRightInd/>
        <w:snapToGrid/>
        <w:spacing w:before="0" w:beforeAutospacing="0" w:after="0" w:afterAutospacing="0" w:line="600" w:lineRule="exact"/>
        <w:jc w:val="right"/>
        <w:textAlignment w:val="auto"/>
        <w:rPr>
          <w:rFonts w:hint="default" w:ascii="仿宋_GB2312" w:hAnsi="仿宋" w:eastAsia="仿宋_GB2312" w:cs="仿宋"/>
          <w:sz w:val="32"/>
          <w:szCs w:val="32"/>
          <w:shd w:val="clear" w:color="auto" w:fill="FFFFFF"/>
          <w:lang w:val="en-US" w:eastAsia="zh-CN"/>
        </w:rPr>
      </w:pPr>
      <w:r>
        <w:rPr>
          <w:rFonts w:hint="eastAsia" w:ascii="仿宋_GB2312" w:hAnsi="仿宋" w:eastAsia="仿宋_GB2312" w:cs="仿宋"/>
          <w:sz w:val="32"/>
          <w:szCs w:val="32"/>
          <w:shd w:val="clear" w:color="auto" w:fill="FFFFFF"/>
        </w:rPr>
        <w:t>福建师范大学协和学院</w:t>
      </w:r>
      <w:r>
        <w:rPr>
          <w:rFonts w:hint="eastAsia" w:ascii="仿宋_GB2312" w:hAnsi="仿宋" w:eastAsia="仿宋_GB2312" w:cs="仿宋"/>
          <w:sz w:val="32"/>
          <w:szCs w:val="32"/>
          <w:shd w:val="clear" w:color="auto" w:fill="FFFFFF"/>
          <w:lang w:val="en-US" w:eastAsia="zh-CN"/>
        </w:rPr>
        <w:t>创新创业学院</w:t>
      </w:r>
    </w:p>
    <w:p w14:paraId="6E8389AD">
      <w:pPr>
        <w:pStyle w:val="6"/>
        <w:keepNext w:val="0"/>
        <w:keepLines w:val="0"/>
        <w:pageBreakBefore w:val="0"/>
        <w:widowControl/>
        <w:shd w:val="clear" w:color="auto" w:fill="FFFFFF"/>
        <w:tabs>
          <w:tab w:val="left" w:pos="4962"/>
        </w:tabs>
        <w:kinsoku/>
        <w:wordWrap w:val="0"/>
        <w:overflowPunct/>
        <w:topLinePunct w:val="0"/>
        <w:autoSpaceDE/>
        <w:autoSpaceDN/>
        <w:bidi w:val="0"/>
        <w:adjustRightInd/>
        <w:snapToGrid/>
        <w:spacing w:before="0" w:beforeAutospacing="0" w:after="0" w:afterAutospacing="0" w:line="600" w:lineRule="exact"/>
        <w:jc w:val="right"/>
        <w:textAlignment w:val="auto"/>
        <w:rPr>
          <w:rFonts w:hint="default" w:ascii="仿宋_GB2312" w:hAnsi="宋体" w:eastAsia="仿宋_GB2312"/>
          <w:color w:val="0D0D0D"/>
          <w:sz w:val="32"/>
          <w:lang w:val="en-US" w:eastAsia="zh-CN"/>
        </w:rPr>
      </w:pPr>
      <w:r>
        <w:rPr>
          <w:rFonts w:hint="eastAsia" w:ascii="仿宋_GB2312" w:hAnsi="仿宋" w:eastAsia="仿宋_GB2312" w:cs="仿宋"/>
          <w:sz w:val="32"/>
          <w:szCs w:val="32"/>
          <w:shd w:val="clear" w:color="auto" w:fill="FFFFFF"/>
        </w:rPr>
        <w:t>202</w:t>
      </w:r>
      <w:r>
        <w:rPr>
          <w:rFonts w:hint="eastAsia" w:ascii="仿宋_GB2312" w:hAnsi="仿宋" w:eastAsia="仿宋_GB2312" w:cs="仿宋"/>
          <w:sz w:val="32"/>
          <w:szCs w:val="32"/>
          <w:shd w:val="clear" w:color="auto" w:fill="FFFFFF"/>
          <w:lang w:val="en-US" w:eastAsia="zh-CN"/>
        </w:rPr>
        <w:t>5</w:t>
      </w:r>
      <w:r>
        <w:rPr>
          <w:rFonts w:hint="eastAsia" w:ascii="仿宋_GB2312" w:hAnsi="仿宋" w:eastAsia="仿宋_GB2312" w:cs="仿宋"/>
          <w:sz w:val="32"/>
          <w:szCs w:val="32"/>
          <w:shd w:val="clear" w:color="auto" w:fill="FFFFFF"/>
        </w:rPr>
        <w:t>年</w:t>
      </w:r>
      <w:r>
        <w:rPr>
          <w:rFonts w:hint="eastAsia" w:ascii="仿宋_GB2312" w:hAnsi="仿宋" w:eastAsia="仿宋_GB2312" w:cs="仿宋"/>
          <w:sz w:val="32"/>
          <w:szCs w:val="32"/>
          <w:shd w:val="clear" w:color="auto" w:fill="FFFFFF"/>
          <w:lang w:val="en-US" w:eastAsia="zh-CN"/>
        </w:rPr>
        <w:t>5</w:t>
      </w:r>
      <w:r>
        <w:rPr>
          <w:rFonts w:hint="eastAsia" w:ascii="仿宋_GB2312" w:hAnsi="仿宋" w:eastAsia="仿宋_GB2312" w:cs="仿宋"/>
          <w:sz w:val="32"/>
          <w:szCs w:val="32"/>
          <w:shd w:val="clear" w:color="auto" w:fill="FFFFFF"/>
        </w:rPr>
        <w:t>月</w:t>
      </w:r>
      <w:r>
        <w:rPr>
          <w:rFonts w:hint="eastAsia" w:ascii="仿宋_GB2312" w:hAnsi="仿宋" w:eastAsia="仿宋_GB2312" w:cs="仿宋"/>
          <w:sz w:val="32"/>
          <w:szCs w:val="32"/>
          <w:shd w:val="clear" w:color="auto" w:fill="FFFFFF"/>
          <w:lang w:val="en-US" w:eastAsia="zh-CN"/>
        </w:rPr>
        <w:t>26</w:t>
      </w:r>
      <w:r>
        <w:rPr>
          <w:rFonts w:hint="eastAsia" w:ascii="仿宋_GB2312" w:hAnsi="仿宋" w:eastAsia="仿宋_GB2312" w:cs="仿宋"/>
          <w:sz w:val="32"/>
          <w:szCs w:val="32"/>
          <w:shd w:val="clear" w:color="auto" w:fill="FFFFFF"/>
        </w:rPr>
        <w:t>日</w:t>
      </w:r>
      <w:r>
        <w:rPr>
          <w:rFonts w:hint="eastAsia" w:ascii="仿宋_GB2312" w:hAnsi="仿宋" w:eastAsia="仿宋_GB2312" w:cs="仿宋"/>
          <w:sz w:val="32"/>
          <w:szCs w:val="32"/>
          <w:shd w:val="clear" w:color="auto" w:fill="FFFFFF"/>
          <w:lang w:val="en-US" w:eastAsia="zh-CN"/>
        </w:rPr>
        <w:t xml:space="preserve">        </w:t>
      </w:r>
    </w:p>
    <w:p w14:paraId="7DE2DB97">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2EE0B596">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19B6DEAD">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45062B8E">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7C03FB95">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7A6CF3A9">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7CB7336E">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27AE63EC">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58EE68FC">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47CCE032">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507F3604">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11A19B58">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17F5C468">
      <w:pPr>
        <w:keepNext w:val="0"/>
        <w:keepLines w:val="0"/>
        <w:pageBreakBefore w:val="0"/>
        <w:pBdr>
          <w:bottom w:val="single" w:color="auto" w:sz="6" w:space="1"/>
        </w:pBdr>
        <w:kinsoku/>
        <w:overflowPunct/>
        <w:topLinePunct w:val="0"/>
        <w:autoSpaceDE/>
        <w:autoSpaceDN/>
        <w:bidi w:val="0"/>
        <w:adjustRightInd/>
        <w:snapToGrid/>
        <w:spacing w:line="600" w:lineRule="exact"/>
        <w:textAlignment w:val="auto"/>
        <w:rPr>
          <w:rFonts w:ascii="仿宋_GB2312" w:hAnsi="宋体" w:eastAsia="仿宋_GB2312"/>
          <w:color w:val="0D0D0D"/>
          <w:sz w:val="32"/>
        </w:rPr>
      </w:pPr>
    </w:p>
    <w:p w14:paraId="694C18F8">
      <w:pPr>
        <w:keepNext w:val="0"/>
        <w:keepLines w:val="0"/>
        <w:pageBreakBefore w:val="0"/>
        <w:kinsoku/>
        <w:overflowPunct/>
        <w:topLinePunct w:val="0"/>
        <w:autoSpaceDE/>
        <w:autoSpaceDN/>
        <w:bidi w:val="0"/>
        <w:adjustRightInd/>
        <w:snapToGrid/>
        <w:spacing w:line="600" w:lineRule="exact"/>
        <w:ind w:firstLine="280" w:firstLineChars="100"/>
        <w:textAlignment w:val="auto"/>
        <w:rPr>
          <w:rFonts w:ascii="仿宋_GB2312" w:hAnsi="仿宋" w:eastAsia="仿宋_GB2312"/>
          <w:color w:val="0D0D0D"/>
          <w:sz w:val="28"/>
          <w:szCs w:val="28"/>
        </w:rPr>
      </w:pPr>
      <w:r>
        <w:rPr>
          <w:rFonts w:hint="eastAsia" w:ascii="仿宋_GB2312" w:hAnsi="仿宋" w:eastAsia="仿宋_GB2312"/>
          <w:color w:val="0D0D0D"/>
          <w:sz w:val="28"/>
          <w:szCs w:val="28"/>
        </w:rPr>
        <w:t>抄送：</w:t>
      </w:r>
      <w:r>
        <w:rPr>
          <w:rFonts w:hint="eastAsia" w:ascii="仿宋_GB2312" w:hAnsi="仿宋" w:eastAsia="仿宋_GB2312"/>
          <w:color w:val="0D0D0D"/>
          <w:sz w:val="28"/>
          <w:szCs w:val="28"/>
          <w:lang w:val="en-US" w:eastAsia="zh-CN"/>
        </w:rPr>
        <w:t>戴副书记</w:t>
      </w:r>
      <w:r>
        <w:rPr>
          <w:rFonts w:hint="eastAsia" w:ascii="仿宋_GB2312" w:hAnsi="仿宋" w:eastAsia="仿宋_GB2312"/>
          <w:color w:val="0D0D0D"/>
          <w:sz w:val="28"/>
          <w:szCs w:val="28"/>
        </w:rPr>
        <w:t>。</w:t>
      </w:r>
    </w:p>
    <w:p w14:paraId="01D30672">
      <w:pPr>
        <w:keepNext w:val="0"/>
        <w:keepLines w:val="0"/>
        <w:pageBreakBefore w:val="0"/>
        <w:pBdr>
          <w:top w:val="single" w:color="auto" w:sz="6" w:space="0"/>
          <w:bottom w:val="single" w:color="auto" w:sz="6" w:space="1"/>
        </w:pBdr>
        <w:kinsoku/>
        <w:overflowPunct/>
        <w:topLinePunct w:val="0"/>
        <w:autoSpaceDE/>
        <w:autoSpaceDN/>
        <w:bidi w:val="0"/>
        <w:adjustRightInd/>
        <w:snapToGrid/>
        <w:spacing w:line="600" w:lineRule="exact"/>
        <w:ind w:firstLine="280" w:firstLineChars="100"/>
        <w:textAlignment w:val="auto"/>
        <w:rPr>
          <w:rFonts w:hint="eastAsia" w:ascii="仿宋_GB2312" w:hAnsi="仿宋" w:eastAsia="仿宋_GB2312" w:cs="仿宋"/>
          <w:sz w:val="32"/>
          <w:szCs w:val="32"/>
          <w:shd w:val="clear" w:color="auto" w:fill="FFFFFF"/>
          <w:lang w:bidi="ar-SA"/>
        </w:rPr>
      </w:pPr>
      <w:r>
        <w:rPr>
          <w:rFonts w:hint="eastAsia" w:ascii="仿宋_GB2312" w:hAnsi="仿宋" w:eastAsia="仿宋_GB2312"/>
          <w:color w:val="0D0D0D"/>
          <w:sz w:val="28"/>
          <w:szCs w:val="28"/>
        </w:rPr>
        <w:t>福建师范大学协和学院创新创业</w:t>
      </w:r>
      <w:r>
        <w:rPr>
          <w:rFonts w:ascii="仿宋_GB2312" w:hAnsi="仿宋" w:eastAsia="仿宋_GB2312"/>
          <w:color w:val="0D0D0D"/>
          <w:sz w:val="28"/>
          <w:szCs w:val="28"/>
        </w:rPr>
        <w:t>学院</w:t>
      </w:r>
      <w:r>
        <w:rPr>
          <w:rFonts w:hint="eastAsia" w:ascii="仿宋_GB2312" w:hAnsi="仿宋" w:eastAsia="仿宋_GB2312"/>
          <w:color w:val="0D0D0D"/>
          <w:sz w:val="28"/>
          <w:szCs w:val="28"/>
        </w:rPr>
        <w:t xml:space="preserve">    202</w:t>
      </w:r>
      <w:r>
        <w:rPr>
          <w:rFonts w:hint="eastAsia" w:ascii="仿宋_GB2312" w:hAnsi="仿宋" w:eastAsia="仿宋_GB2312"/>
          <w:color w:val="0D0D0D"/>
          <w:sz w:val="28"/>
          <w:szCs w:val="28"/>
          <w:lang w:val="en-US" w:eastAsia="zh-CN"/>
        </w:rPr>
        <w:t>5</w:t>
      </w:r>
      <w:r>
        <w:rPr>
          <w:rFonts w:hint="eastAsia" w:ascii="仿宋_GB2312" w:hAnsi="仿宋" w:eastAsia="仿宋_GB2312"/>
          <w:color w:val="0D0D0D"/>
          <w:sz w:val="28"/>
          <w:szCs w:val="28"/>
        </w:rPr>
        <w:t>年</w:t>
      </w:r>
      <w:r>
        <w:rPr>
          <w:rFonts w:hint="eastAsia" w:ascii="仿宋_GB2312" w:hAnsi="仿宋" w:eastAsia="仿宋_GB2312"/>
          <w:color w:val="0D0D0D"/>
          <w:sz w:val="28"/>
          <w:szCs w:val="28"/>
          <w:lang w:val="en-US" w:eastAsia="zh-CN"/>
        </w:rPr>
        <w:t>5</w:t>
      </w:r>
      <w:r>
        <w:rPr>
          <w:rFonts w:hint="eastAsia" w:ascii="仿宋_GB2312" w:hAnsi="仿宋" w:eastAsia="仿宋_GB2312"/>
          <w:color w:val="0D0D0D"/>
          <w:sz w:val="28"/>
          <w:szCs w:val="28"/>
        </w:rPr>
        <w:t>月</w:t>
      </w:r>
      <w:r>
        <w:rPr>
          <w:rFonts w:hint="eastAsia" w:ascii="仿宋_GB2312" w:hAnsi="仿宋" w:eastAsia="仿宋_GB2312"/>
          <w:color w:val="0D0D0D"/>
          <w:sz w:val="28"/>
          <w:szCs w:val="28"/>
          <w:lang w:val="en-US" w:eastAsia="zh-CN"/>
        </w:rPr>
        <w:t>26</w:t>
      </w:r>
      <w:r>
        <w:rPr>
          <w:rFonts w:hint="eastAsia" w:ascii="仿宋_GB2312" w:hAnsi="仿宋" w:eastAsia="仿宋_GB2312"/>
          <w:color w:val="0D0D0D"/>
          <w:sz w:val="28"/>
          <w:szCs w:val="28"/>
        </w:rPr>
        <w:t>日印发</w:t>
      </w: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oNotDisplayPageBoundaries w:val="1"/>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044A"/>
    <w:rsid w:val="00002492"/>
    <w:rsid w:val="00017245"/>
    <w:rsid w:val="00032CC3"/>
    <w:rsid w:val="001E496E"/>
    <w:rsid w:val="00282CB3"/>
    <w:rsid w:val="002F23FE"/>
    <w:rsid w:val="00387150"/>
    <w:rsid w:val="003945E0"/>
    <w:rsid w:val="007163C0"/>
    <w:rsid w:val="00771765"/>
    <w:rsid w:val="0090044A"/>
    <w:rsid w:val="009E5365"/>
    <w:rsid w:val="00B4515E"/>
    <w:rsid w:val="00E4618C"/>
    <w:rsid w:val="00E6673D"/>
    <w:rsid w:val="00ED1431"/>
    <w:rsid w:val="00EE4E5F"/>
    <w:rsid w:val="00F37EC9"/>
    <w:rsid w:val="07636644"/>
    <w:rsid w:val="265A7160"/>
    <w:rsid w:val="2B0C2944"/>
    <w:rsid w:val="2CE55D92"/>
    <w:rsid w:val="342B439E"/>
    <w:rsid w:val="35F67EC7"/>
    <w:rsid w:val="3F796FB1"/>
    <w:rsid w:val="3FD30434"/>
    <w:rsid w:val="40271BD5"/>
    <w:rsid w:val="43515EAA"/>
    <w:rsid w:val="4BEF2D56"/>
    <w:rsid w:val="4D1A59FF"/>
    <w:rsid w:val="50541957"/>
    <w:rsid w:val="775B39E2"/>
    <w:rsid w:val="7DC4436B"/>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spacing w:before="100" w:beforeAutospacing="1" w:after="100" w:afterAutospacing="1"/>
      <w:jc w:val="left"/>
      <w:outlineLvl w:val="0"/>
    </w:pPr>
    <w:rPr>
      <w:rFonts w:hint="eastAsia" w:ascii="宋体" w:hAnsi="宋体" w:eastAsia="宋体" w:cs="宋体"/>
      <w:b/>
      <w:bCs/>
      <w:kern w:val="44"/>
      <w:sz w:val="48"/>
      <w:szCs w:val="48"/>
      <w:lang w:val="en-US" w:eastAsia="zh-CN" w:bidi="ar"/>
    </w:rPr>
  </w:style>
  <w:style w:type="paragraph" w:styleId="3">
    <w:name w:val="heading 2"/>
    <w:basedOn w:val="1"/>
    <w:next w:val="1"/>
    <w:qFormat/>
    <w:uiPriority w:val="0"/>
    <w:pPr>
      <w:spacing w:before="100" w:beforeAutospacing="1" w:after="100" w:afterAutospacing="1"/>
      <w:jc w:val="left"/>
      <w:outlineLvl w:val="1"/>
    </w:pPr>
    <w:rPr>
      <w:rFonts w:hint="eastAsia" w:ascii="宋体" w:hAnsi="宋体" w:eastAsia="宋体" w:cs="宋体"/>
      <w:b/>
      <w:bCs/>
      <w:kern w:val="0"/>
      <w:sz w:val="36"/>
      <w:szCs w:val="36"/>
      <w:lang w:val="en-US" w:eastAsia="zh-CN" w:bidi="ar"/>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4">
    <w:name w:val="footer"/>
    <w:basedOn w:val="1"/>
    <w:link w:val="10"/>
    <w:uiPriority w:val="0"/>
    <w:pPr>
      <w:tabs>
        <w:tab w:val="center" w:pos="4153"/>
        <w:tab w:val="right" w:pos="8306"/>
      </w:tabs>
      <w:snapToGrid w:val="0"/>
      <w:jc w:val="left"/>
    </w:pPr>
    <w:rPr>
      <w:sz w:val="18"/>
      <w:szCs w:val="18"/>
    </w:rPr>
  </w:style>
  <w:style w:type="paragraph" w:styleId="5">
    <w:name w:val="header"/>
    <w:basedOn w:val="1"/>
    <w:link w:val="11"/>
    <w:qFormat/>
    <w:uiPriority w:val="0"/>
    <w:pPr>
      <w:tabs>
        <w:tab w:val="center" w:pos="4153"/>
        <w:tab w:val="right" w:pos="8306"/>
      </w:tabs>
      <w:snapToGrid w:val="0"/>
      <w:jc w:val="center"/>
    </w:pPr>
    <w:rPr>
      <w:sz w:val="18"/>
      <w:szCs w:val="18"/>
    </w:rPr>
  </w:style>
  <w:style w:type="paragraph" w:styleId="6">
    <w:name w:val="Normal (Web)"/>
    <w:basedOn w:val="1"/>
    <w:qFormat/>
    <w:uiPriority w:val="0"/>
    <w:pPr>
      <w:spacing w:before="100" w:beforeAutospacing="1" w:after="100" w:afterAutospacing="1"/>
      <w:ind w:left="0" w:right="0"/>
      <w:jc w:val="left"/>
    </w:pPr>
    <w:rPr>
      <w:kern w:val="0"/>
      <w:sz w:val="24"/>
      <w:lang w:val="en-US" w:eastAsia="zh-CN" w:bidi="ar"/>
    </w:rPr>
  </w:style>
  <w:style w:type="character" w:styleId="9">
    <w:name w:val="Hyperlink"/>
    <w:uiPriority w:val="0"/>
    <w:rPr>
      <w:color w:val="0000FF"/>
      <w:u w:val="single"/>
    </w:rPr>
  </w:style>
  <w:style w:type="character" w:customStyle="1" w:styleId="10">
    <w:name w:val="页脚 字符"/>
    <w:link w:val="4"/>
    <w:uiPriority w:val="0"/>
    <w:rPr>
      <w:rFonts w:ascii="Calibri" w:hAnsi="Calibri"/>
      <w:kern w:val="2"/>
      <w:sz w:val="18"/>
      <w:szCs w:val="18"/>
    </w:rPr>
  </w:style>
  <w:style w:type="character" w:customStyle="1" w:styleId="11">
    <w:name w:val="页眉 字符"/>
    <w:link w:val="5"/>
    <w:uiPriority w:val="0"/>
    <w:rPr>
      <w:rFonts w:ascii="Calibri" w:hAnsi="Calibri"/>
      <w:kern w:val="2"/>
      <w:sz w:val="18"/>
      <w:szCs w:val="18"/>
    </w:rPr>
  </w:style>
  <w:style w:type="character" w:customStyle="1" w:styleId="12">
    <w:name w:val="_Style 11"/>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1106</Words>
  <Characters>1222</Characters>
  <Lines>35</Lines>
  <Paragraphs>40</Paragraphs>
  <TotalTime>16</TotalTime>
  <ScaleCrop>false</ScaleCrop>
  <LinksUpToDate>false</LinksUpToDate>
  <CharactersWithSpaces>1234</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2025-05-05T10:05:00Z</dcterms:created>
  <dc:creator>guogu</dc:creator>
  <cp:lastModifiedBy>WPS_1726058926</cp:lastModifiedBy>
  <dcterms:modified xsi:type="dcterms:W3CDTF">2025-05-27T09:55:07Z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KSOTemplateDocerSaveRecord">
    <vt:lpwstr>eyJoZGlkIjoiNzExNGRjYWNkMTdlYmIyMDkzNzNhN2YxNmE4ZTI1MzQiLCJ1c2VySWQiOiIxNjMzNTEzNzE4In0=</vt:lpwstr>
  </property>
  <property fmtid="{D5CDD505-2E9C-101B-9397-08002B2CF9AE}" pid="4" name="ICV">
    <vt:lpwstr>C855FF05BCA847A09796F52226BE49F3_13</vt:lpwstr>
  </property>
</Properties>
</file>