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BD7944A">
      <w:pPr>
        <w:rPr>
          <w:rFonts w:hint="eastAsia" w:ascii="仿宋_GB2312" w:hAnsi="黑体" w:eastAsia="仿宋_GB2312" w:cs="黑体"/>
          <w:color w:val="000000"/>
          <w:sz w:val="32"/>
          <w:szCs w:val="32"/>
        </w:rPr>
      </w:pPr>
      <w:r>
        <w:rPr>
          <w:rFonts w:hint="eastAsia" w:ascii="仿宋_GB2312" w:hAnsi="黑体" w:eastAsia="仿宋_GB2312" w:cs="黑体"/>
          <w:color w:val="000000"/>
          <w:sz w:val="32"/>
          <w:szCs w:val="32"/>
        </w:rPr>
        <w:t>附件2</w:t>
      </w:r>
    </w:p>
    <w:p w14:paraId="51285DAC">
      <w:pPr>
        <w:jc w:val="center"/>
        <w:rPr>
          <w:rFonts w:hint="eastAsia" w:ascii="方正小标宋简体" w:hAnsi="方正小标宋简体" w:eastAsia="方正小标宋简体" w:cs="方正小标宋简体"/>
          <w:color w:val="000000"/>
          <w:kern w:val="0"/>
          <w:sz w:val="36"/>
          <w:szCs w:val="36"/>
        </w:rPr>
      </w:pPr>
      <w:r>
        <w:rPr>
          <w:rFonts w:hint="eastAsia" w:ascii="方正小标宋简体" w:hAnsi="方正小标宋简体" w:eastAsia="方正小标宋简体" w:cs="方正小标宋简体"/>
          <w:color w:val="000000"/>
          <w:kern w:val="0"/>
          <w:sz w:val="36"/>
          <w:szCs w:val="36"/>
        </w:rPr>
        <w:t>福建师范大学协和学院2025年“外教社杯”高校学生跨文化能力大</w:t>
      </w:r>
      <w:r>
        <w:rPr>
          <w:rFonts w:hint="eastAsia" w:ascii="方正小标宋简体" w:hAnsi="方正小标宋简体" w:eastAsia="方正小标宋简体" w:cs="方正小标宋简体"/>
          <w:color w:val="000000"/>
          <w:kern w:val="0"/>
          <w:sz w:val="36"/>
          <w:szCs w:val="36"/>
        </w:rPr>
        <w:t>赛（校级选拔赛）</w:t>
      </w:r>
    </w:p>
    <w:p w14:paraId="09F7F7E6">
      <w:pPr>
        <w:jc w:val="center"/>
        <w:rPr>
          <w:rFonts w:hint="eastAsia" w:ascii="方正小标宋简体" w:hAnsi="方正小标宋简体" w:eastAsia="方正小标宋简体" w:cs="方正小标宋简体"/>
          <w:color w:val="000000"/>
          <w:kern w:val="0"/>
          <w:sz w:val="36"/>
          <w:szCs w:val="36"/>
        </w:rPr>
      </w:pPr>
      <w:r>
        <w:rPr>
          <w:rFonts w:hint="eastAsia" w:ascii="方正小标宋简体" w:hAnsi="方正小标宋简体" w:eastAsia="方正小标宋简体" w:cs="方正小标宋简体"/>
          <w:color w:val="000000"/>
          <w:kern w:val="0"/>
          <w:sz w:val="36"/>
          <w:szCs w:val="36"/>
        </w:rPr>
        <w:t>评分细则</w:t>
      </w:r>
    </w:p>
    <w:p w14:paraId="2AD10299">
      <w:pPr>
        <w:pStyle w:val="8"/>
        <w:numPr>
          <w:ilvl w:val="0"/>
          <w:numId w:val="1"/>
        </w:numPr>
        <w:ind w:firstLineChars="0"/>
        <w:jc w:val="left"/>
        <w:rPr>
          <w:rFonts w:hint="eastAsia" w:ascii="黑体" w:hAnsi="黑体" w:eastAsia="黑体" w:cs="黑体"/>
          <w:color w:val="000000"/>
          <w:kern w:val="0"/>
          <w:sz w:val="32"/>
          <w:szCs w:val="32"/>
        </w:rPr>
      </w:pPr>
      <w:r>
        <w:rPr>
          <w:rFonts w:hint="eastAsia" w:ascii="黑体" w:hAnsi="黑体" w:eastAsia="黑体" w:cs="黑体"/>
          <w:color w:val="000000"/>
          <w:kern w:val="0"/>
          <w:sz w:val="32"/>
          <w:szCs w:val="32"/>
        </w:rPr>
        <w:t>决赛</w:t>
      </w:r>
    </w:p>
    <w:tbl>
      <w:tblPr>
        <w:tblStyle w:val="4"/>
        <w:tblW w:w="9890" w:type="dxa"/>
        <w:tblInd w:w="-664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650"/>
        <w:gridCol w:w="2620"/>
        <w:gridCol w:w="2221"/>
        <w:gridCol w:w="2399"/>
      </w:tblGrid>
      <w:tr w14:paraId="5AA9E01D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31" w:hRule="atLeast"/>
        </w:trPr>
        <w:tc>
          <w:tcPr>
            <w:tcW w:w="2650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A70F80">
            <w:pPr>
              <w:widowControl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  <w:t>项 目</w:t>
            </w:r>
          </w:p>
        </w:tc>
        <w:tc>
          <w:tcPr>
            <w:tcW w:w="2620" w:type="dxa"/>
            <w:tcBorders>
              <w:top w:val="single" w:color="auto" w:sz="8" w:space="0"/>
              <w:left w:val="nil"/>
              <w:bottom w:val="single" w:color="auto" w:sz="8" w:space="0"/>
              <w:right w:val="single" w:color="auto" w:sz="8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025CF1">
            <w:pPr>
              <w:widowControl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  <w:t>定题演讲</w:t>
            </w:r>
          </w:p>
          <w:p w14:paraId="50E9B1C7">
            <w:pPr>
              <w:widowControl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  <w:t>（50分）</w:t>
            </w:r>
          </w:p>
        </w:tc>
        <w:tc>
          <w:tcPr>
            <w:tcW w:w="2221" w:type="dxa"/>
            <w:tcBorders>
              <w:top w:val="single" w:color="auto" w:sz="8" w:space="0"/>
              <w:left w:val="nil"/>
              <w:bottom w:val="single" w:color="auto" w:sz="8" w:space="0"/>
              <w:right w:val="single" w:color="auto" w:sz="4" w:space="0"/>
            </w:tcBorders>
          </w:tcPr>
          <w:p w14:paraId="1752F55E">
            <w:pPr>
              <w:widowControl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</w:pPr>
          </w:p>
          <w:p w14:paraId="173727C2">
            <w:pPr>
              <w:widowControl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  <w:t>跨文化解读</w:t>
            </w:r>
          </w:p>
          <w:p w14:paraId="002020D1">
            <w:pPr>
              <w:widowControl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  <w:t>（50分）</w:t>
            </w:r>
          </w:p>
        </w:tc>
        <w:tc>
          <w:tcPr>
            <w:tcW w:w="2399" w:type="dxa"/>
            <w:tcBorders>
              <w:top w:val="single" w:color="auto" w:sz="8" w:space="0"/>
              <w:left w:val="single" w:color="auto" w:sz="4" w:space="0"/>
              <w:bottom w:val="single" w:color="auto" w:sz="8" w:space="0"/>
              <w:right w:val="single" w:color="auto" w:sz="8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9B1829">
            <w:pPr>
              <w:widowControl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  <w:t>总 分</w:t>
            </w:r>
          </w:p>
        </w:tc>
      </w:tr>
      <w:tr w14:paraId="34A4F1F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90" w:hRule="atLeast"/>
        </w:trPr>
        <w:tc>
          <w:tcPr>
            <w:tcW w:w="265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50E7C3">
            <w:pPr>
              <w:widowControl/>
              <w:ind w:firstLine="720" w:firstLineChars="300"/>
              <w:jc w:val="both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  <w:t>主题内涵</w:t>
            </w:r>
          </w:p>
          <w:p w14:paraId="1C494D73">
            <w:pPr>
              <w:widowControl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  <w:t>（跨文化知识等）</w:t>
            </w:r>
          </w:p>
        </w:tc>
        <w:tc>
          <w:tcPr>
            <w:tcW w:w="2620" w:type="dxa"/>
            <w:tcBorders>
              <w:top w:val="nil"/>
              <w:left w:val="nil"/>
              <w:bottom w:val="single" w:color="auto" w:sz="8" w:space="0"/>
              <w:right w:val="single" w:color="auto" w:sz="8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3B6D94">
            <w:pPr>
              <w:widowControl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  <w:t>20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  <w:t>分</w:t>
            </w:r>
          </w:p>
        </w:tc>
        <w:tc>
          <w:tcPr>
            <w:tcW w:w="2221" w:type="dxa"/>
            <w:tcBorders>
              <w:top w:val="nil"/>
              <w:left w:val="nil"/>
              <w:bottom w:val="single" w:color="auto" w:sz="8" w:space="0"/>
              <w:right w:val="single" w:color="auto" w:sz="4" w:space="0"/>
            </w:tcBorders>
            <w:vAlign w:val="center"/>
          </w:tcPr>
          <w:p w14:paraId="314A0DC5">
            <w:pPr>
              <w:widowControl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  <w:t>20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  <w:t>分</w:t>
            </w:r>
          </w:p>
        </w:tc>
        <w:tc>
          <w:tcPr>
            <w:tcW w:w="2399" w:type="dxa"/>
            <w:vMerge w:val="restart"/>
            <w:tcBorders>
              <w:top w:val="nil"/>
              <w:left w:val="single" w:color="auto" w:sz="4" w:space="0"/>
              <w:bottom w:val="single" w:color="auto" w:sz="8" w:space="0"/>
              <w:right w:val="single" w:color="auto" w:sz="8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CE2D3E8">
            <w:pPr>
              <w:widowControl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  <w:t>100分</w:t>
            </w:r>
          </w:p>
        </w:tc>
      </w:tr>
      <w:tr w14:paraId="4B7897A6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92" w:hRule="atLeast"/>
        </w:trPr>
        <w:tc>
          <w:tcPr>
            <w:tcW w:w="265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FF43BF">
            <w:pPr>
              <w:widowControl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  <w:t>语言表达</w:t>
            </w:r>
          </w:p>
        </w:tc>
        <w:tc>
          <w:tcPr>
            <w:tcW w:w="2620" w:type="dxa"/>
            <w:tcBorders>
              <w:top w:val="nil"/>
              <w:left w:val="nil"/>
              <w:bottom w:val="single" w:color="auto" w:sz="8" w:space="0"/>
              <w:right w:val="single" w:color="auto" w:sz="8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351536">
            <w:pPr>
              <w:widowControl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  <w:t>20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  <w:t>分</w:t>
            </w:r>
          </w:p>
        </w:tc>
        <w:tc>
          <w:tcPr>
            <w:tcW w:w="2221" w:type="dxa"/>
            <w:tcBorders>
              <w:top w:val="nil"/>
              <w:left w:val="nil"/>
              <w:bottom w:val="single" w:color="auto" w:sz="8" w:space="0"/>
              <w:right w:val="single" w:color="auto" w:sz="4" w:space="0"/>
            </w:tcBorders>
            <w:vAlign w:val="center"/>
          </w:tcPr>
          <w:p w14:paraId="519DCA63">
            <w:pPr>
              <w:widowControl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  <w:t>20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  <w:t>分</w:t>
            </w:r>
          </w:p>
        </w:tc>
        <w:tc>
          <w:tcPr>
            <w:tcW w:w="2399" w:type="dxa"/>
            <w:vMerge w:val="continue"/>
            <w:tcBorders>
              <w:top w:val="nil"/>
              <w:left w:val="single" w:color="auto" w:sz="4" w:space="0"/>
              <w:bottom w:val="single" w:color="auto" w:sz="8" w:space="0"/>
              <w:right w:val="single" w:color="auto" w:sz="8" w:space="0"/>
            </w:tcBorders>
            <w:vAlign w:val="center"/>
          </w:tcPr>
          <w:p w14:paraId="5154B929">
            <w:pPr>
              <w:widowControl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</w:pPr>
          </w:p>
        </w:tc>
      </w:tr>
      <w:tr w14:paraId="4203A5C9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93" w:hRule="atLeast"/>
        </w:trPr>
        <w:tc>
          <w:tcPr>
            <w:tcW w:w="265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D3E543">
            <w:pPr>
              <w:widowControl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  <w:t>技巧</w:t>
            </w:r>
          </w:p>
          <w:p w14:paraId="0E6B90AA">
            <w:pPr>
              <w:widowControl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  <w:t>（临场应变、感染力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  <w:t>等）</w:t>
            </w:r>
          </w:p>
        </w:tc>
        <w:tc>
          <w:tcPr>
            <w:tcW w:w="2620" w:type="dxa"/>
            <w:tcBorders>
              <w:top w:val="nil"/>
              <w:left w:val="nil"/>
              <w:bottom w:val="single" w:color="auto" w:sz="8" w:space="0"/>
              <w:right w:val="single" w:color="auto" w:sz="8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DA00DE">
            <w:pPr>
              <w:widowControl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  <w:t>10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  <w:t>分</w:t>
            </w:r>
          </w:p>
        </w:tc>
        <w:tc>
          <w:tcPr>
            <w:tcW w:w="2221" w:type="dxa"/>
            <w:tcBorders>
              <w:top w:val="nil"/>
              <w:left w:val="nil"/>
              <w:bottom w:val="single" w:color="auto" w:sz="8" w:space="0"/>
              <w:right w:val="single" w:color="auto" w:sz="4" w:space="0"/>
            </w:tcBorders>
            <w:vAlign w:val="center"/>
          </w:tcPr>
          <w:p w14:paraId="5CF9FDC7">
            <w:pPr>
              <w:widowControl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</w:pP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  <w:t>10</w:t>
            </w:r>
            <w:r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  <w:t>分</w:t>
            </w:r>
          </w:p>
        </w:tc>
        <w:tc>
          <w:tcPr>
            <w:tcW w:w="2399" w:type="dxa"/>
            <w:vMerge w:val="continue"/>
            <w:tcBorders>
              <w:top w:val="nil"/>
              <w:left w:val="single" w:color="auto" w:sz="4" w:space="0"/>
              <w:bottom w:val="single" w:color="auto" w:sz="8" w:space="0"/>
              <w:right w:val="single" w:color="auto" w:sz="8" w:space="0"/>
            </w:tcBorders>
            <w:vAlign w:val="center"/>
          </w:tcPr>
          <w:p w14:paraId="16C16327">
            <w:pPr>
              <w:widowControl/>
              <w:jc w:val="center"/>
              <w:rPr>
                <w:rFonts w:hint="eastAsia" w:ascii="仿宋_GB2312" w:hAnsi="仿宋_GB2312" w:eastAsia="仿宋_GB2312" w:cs="仿宋_GB2312"/>
                <w:color w:val="000000"/>
                <w:kern w:val="0"/>
                <w:sz w:val="24"/>
              </w:rPr>
            </w:pPr>
          </w:p>
        </w:tc>
      </w:tr>
    </w:tbl>
    <w:p w14:paraId="27BB435B">
      <w:pPr>
        <w:spacing w:line="560" w:lineRule="exact"/>
        <w:jc w:val="left"/>
        <w:rPr>
          <w:rFonts w:hint="eastAsia" w:ascii="黑体" w:hAnsi="黑体" w:eastAsia="黑体" w:cs="黑体"/>
          <w:color w:val="000000"/>
          <w:kern w:val="0"/>
          <w:sz w:val="32"/>
          <w:szCs w:val="32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32"/>
          <w:szCs w:val="32"/>
        </w:rPr>
        <w:t xml:space="preserve"> </w:t>
      </w:r>
    </w:p>
    <w:p w14:paraId="5372239A">
      <w:pPr>
        <w:spacing w:line="560" w:lineRule="exact"/>
        <w:ind w:firstLine="640" w:firstLineChars="200"/>
        <w:jc w:val="left"/>
        <w:rPr>
          <w:rFonts w:hint="eastAsia" w:ascii="黑体" w:hAnsi="黑体" w:eastAsia="黑体" w:cs="黑体"/>
          <w:color w:val="000000"/>
          <w:kern w:val="0"/>
          <w:sz w:val="32"/>
          <w:szCs w:val="32"/>
        </w:rPr>
      </w:pPr>
      <w:r>
        <w:rPr>
          <w:rFonts w:hint="eastAsia" w:ascii="黑体" w:hAnsi="黑体" w:eastAsia="黑体" w:cs="黑体"/>
          <w:color w:val="000000"/>
          <w:kern w:val="0"/>
          <w:sz w:val="32"/>
          <w:szCs w:val="32"/>
        </w:rPr>
        <w:t>二、评分参考：</w:t>
      </w:r>
      <w:bookmarkStart w:id="0" w:name="_GoBack"/>
      <w:bookmarkEnd w:id="0"/>
    </w:p>
    <w:p w14:paraId="08D84562">
      <w:pPr>
        <w:spacing w:line="560" w:lineRule="exact"/>
        <w:ind w:firstLine="560" w:firstLineChars="200"/>
        <w:jc w:val="left"/>
        <w:rPr>
          <w:rFonts w:hint="eastAsia" w:ascii="仿宋_GB2312" w:hAnsi="仿宋_GB2312" w:eastAsia="仿宋_GB2312" w:cs="仿宋_GB2312"/>
          <w:bCs/>
          <w:color w:val="000000"/>
          <w:kern w:val="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</w:rPr>
        <w:t>（一）内容要求：</w:t>
      </w:r>
      <w:r>
        <w:rPr>
          <w:rFonts w:hint="eastAsia" w:ascii="仿宋_GB2312" w:hAnsi="仿宋_GB2312" w:eastAsia="仿宋_GB2312" w:cs="仿宋_GB2312"/>
          <w:bCs/>
          <w:color w:val="000000"/>
          <w:kern w:val="0"/>
          <w:sz w:val="28"/>
          <w:szCs w:val="28"/>
        </w:rPr>
        <w:t>主题鲜明，与跨文化主题</w:t>
      </w:r>
      <w:r>
        <w:rPr>
          <w:rFonts w:hint="eastAsia" w:ascii="仿宋_GB2312" w:hAnsi="仿宋_GB2312" w:eastAsia="仿宋_GB2312" w:cs="仿宋_GB2312"/>
          <w:bCs/>
          <w:color w:val="000000"/>
          <w:kern w:val="0"/>
          <w:sz w:val="28"/>
          <w:szCs w:val="28"/>
        </w:rPr>
        <w:t>相符，具有跨文化意识，善于发现文化差异，具有跨文化情感态度，内容清楚、结构清晰、中心突出，合理展开、阐释充分、论据相关、逻辑性强，内容生动，能吸引听众注意力。</w:t>
      </w:r>
    </w:p>
    <w:p w14:paraId="71BBE0B7">
      <w:pPr>
        <w:widowControl/>
        <w:tabs>
          <w:tab w:val="left" w:pos="540"/>
        </w:tabs>
        <w:spacing w:line="560" w:lineRule="exact"/>
        <w:ind w:right="-34" w:rightChars="-16" w:firstLine="560" w:firstLineChars="200"/>
        <w:jc w:val="left"/>
        <w:rPr>
          <w:rFonts w:hint="eastAsia" w:ascii="仿宋_GB2312" w:hAnsi="仿宋_GB2312" w:eastAsia="仿宋_GB2312" w:cs="仿宋_GB2312"/>
          <w:bCs/>
          <w:color w:val="000000"/>
          <w:kern w:val="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</w:rPr>
        <w:t>（二）语言要求：</w:t>
      </w:r>
      <w:r>
        <w:rPr>
          <w:rFonts w:hint="eastAsia" w:ascii="仿宋_GB2312" w:hAnsi="仿宋_GB2312" w:eastAsia="仿宋_GB2312" w:cs="仿宋_GB2312"/>
          <w:bCs/>
          <w:color w:val="000000"/>
          <w:kern w:val="0"/>
          <w:sz w:val="28"/>
          <w:szCs w:val="28"/>
        </w:rPr>
        <w:t>使用标准英国式英语或美国式英语。语言准确（发音清晰，用词准确恰当，无语法错误，句式规范</w:t>
      </w:r>
      <w:r>
        <w:rPr>
          <w:rFonts w:hint="eastAsia" w:ascii="仿宋_GB2312" w:hAnsi="仿宋_GB2312" w:eastAsia="仿宋_GB2312" w:cs="仿宋_GB2312"/>
          <w:bCs/>
          <w:color w:val="000000"/>
          <w:kern w:val="0"/>
          <w:sz w:val="28"/>
          <w:szCs w:val="28"/>
        </w:rPr>
        <w:t>多样），表述流利自然（注意连读、词重音、句重音、语调和节奏等）。</w:t>
      </w:r>
    </w:p>
    <w:p w14:paraId="0AB8C738">
      <w:pPr>
        <w:widowControl/>
        <w:tabs>
          <w:tab w:val="left" w:pos="540"/>
        </w:tabs>
        <w:spacing w:line="560" w:lineRule="exact"/>
        <w:ind w:right="-34" w:rightChars="-16" w:firstLine="560" w:firstLineChars="200"/>
        <w:jc w:val="left"/>
        <w:rPr>
          <w:rFonts w:hint="eastAsia" w:ascii="仿宋_GB2312" w:hAnsi="仿宋_GB2312" w:eastAsia="仿宋_GB2312" w:cs="仿宋_GB2312"/>
          <w:bCs/>
          <w:color w:val="000000"/>
          <w:kern w:val="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</w:rPr>
        <w:t>（三）技巧要求：</w:t>
      </w:r>
      <w:r>
        <w:rPr>
          <w:rFonts w:hint="eastAsia" w:ascii="仿宋_GB2312" w:hAnsi="仿宋_GB2312" w:eastAsia="仿宋_GB2312" w:cs="仿宋_GB2312"/>
          <w:bCs/>
          <w:color w:val="000000"/>
          <w:kern w:val="0"/>
          <w:sz w:val="28"/>
          <w:szCs w:val="28"/>
        </w:rPr>
        <w:t>自信，有感情与气势；善用</w:t>
      </w:r>
      <w:r>
        <w:rPr>
          <w:rFonts w:hint="eastAsia" w:ascii="仿宋_GB2312" w:hAnsi="仿宋_GB2312" w:eastAsia="仿宋_GB2312" w:cs="仿宋_GB2312"/>
          <w:bCs/>
          <w:color w:val="000000"/>
          <w:kern w:val="0"/>
          <w:sz w:val="28"/>
          <w:szCs w:val="28"/>
        </w:rPr>
        <w:t>身体语言；表现力强，有一定的舞台感，幽默感（不能是哑剧式的幽默或调侃）；适当使用修辞手法（比喻、类比等）。</w:t>
      </w:r>
    </w:p>
    <w:p w14:paraId="086C1E27">
      <w:pPr>
        <w:widowControl/>
        <w:tabs>
          <w:tab w:val="left" w:pos="540"/>
        </w:tabs>
        <w:spacing w:line="560" w:lineRule="exact"/>
        <w:ind w:right="-34" w:rightChars="-16" w:firstLine="560" w:firstLineChars="200"/>
        <w:jc w:val="left"/>
        <w:rPr>
          <w:rFonts w:hint="eastAsia" w:ascii="仿宋_GB2312" w:hAnsi="仿宋_GB2312" w:eastAsia="仿宋_GB2312" w:cs="仿宋_GB2312"/>
          <w:bCs/>
          <w:color w:val="000000"/>
          <w:kern w:val="0"/>
          <w:sz w:val="28"/>
          <w:szCs w:val="28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</w:rPr>
        <w:t>（四）</w:t>
      </w:r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</w:rPr>
        <w:t>时间控制：</w:t>
      </w:r>
      <w:r>
        <w:rPr>
          <w:rFonts w:hint="eastAsia" w:ascii="仿宋_GB2312" w:hAnsi="仿宋_GB2312" w:eastAsia="仿宋_GB2312" w:cs="仿宋_GB2312"/>
          <w:bCs/>
          <w:color w:val="000000"/>
          <w:kern w:val="0"/>
          <w:sz w:val="28"/>
          <w:szCs w:val="28"/>
        </w:rPr>
        <w:t>定题演讲环节在1分30秒有举牌提示。</w:t>
      </w:r>
      <w:r>
        <w:rPr>
          <w:rFonts w:hint="eastAsia" w:ascii="仿宋_GB2312" w:hAnsi="仿宋_GB2312" w:eastAsia="仿宋_GB2312" w:cs="仿宋_GB2312"/>
          <w:bCs/>
          <w:color w:val="000000"/>
          <w:kern w:val="0"/>
          <w:sz w:val="28"/>
          <w:szCs w:val="28"/>
          <w:highlight w:val="none"/>
        </w:rPr>
        <w:t>定题演讲不足1分钟或超过3分钟扣5分</w:t>
      </w:r>
      <w:r>
        <w:rPr>
          <w:rFonts w:hint="eastAsia" w:ascii="仿宋_GB2312" w:hAnsi="仿宋_GB2312" w:eastAsia="仿宋_GB2312" w:cs="仿宋_GB2312"/>
          <w:bCs/>
          <w:color w:val="000000"/>
          <w:kern w:val="0"/>
          <w:sz w:val="28"/>
          <w:szCs w:val="28"/>
        </w:rPr>
        <w:t>。跨文化解读环节，30秒读题思考后开始作答，</w:t>
      </w:r>
      <w:r>
        <w:rPr>
          <w:rFonts w:hint="eastAsia" w:ascii="仿宋_GB2312" w:hAnsi="仿宋_GB2312" w:eastAsia="仿宋_GB2312" w:cs="仿宋_GB2312"/>
          <w:bCs/>
          <w:color w:val="000000"/>
          <w:kern w:val="0"/>
          <w:sz w:val="28"/>
          <w:szCs w:val="28"/>
          <w:highlight w:val="none"/>
        </w:rPr>
        <w:t>在1分</w:t>
      </w:r>
      <w:r>
        <w:rPr>
          <w:rFonts w:hint="eastAsia" w:ascii="仿宋_GB2312" w:hAnsi="仿宋_GB2312" w:eastAsia="仿宋_GB2312" w:cs="仿宋_GB2312"/>
          <w:bCs/>
          <w:color w:val="000000"/>
          <w:kern w:val="0"/>
          <w:sz w:val="28"/>
          <w:szCs w:val="28"/>
          <w:highlight w:val="none"/>
          <w:lang w:val="en-US" w:eastAsia="zh-CN"/>
        </w:rPr>
        <w:t>3</w:t>
      </w:r>
      <w:r>
        <w:rPr>
          <w:rFonts w:hint="eastAsia" w:ascii="仿宋_GB2312" w:hAnsi="仿宋_GB2312" w:eastAsia="仿宋_GB2312" w:cs="仿宋_GB2312"/>
          <w:bCs/>
          <w:color w:val="000000"/>
          <w:kern w:val="0"/>
          <w:sz w:val="28"/>
          <w:szCs w:val="28"/>
          <w:highlight w:val="none"/>
        </w:rPr>
        <w:t>0秒有举牌提示剩余</w:t>
      </w:r>
      <w:r>
        <w:rPr>
          <w:rFonts w:hint="eastAsia" w:ascii="仿宋_GB2312" w:hAnsi="仿宋_GB2312" w:eastAsia="仿宋_GB2312" w:cs="仿宋_GB2312"/>
          <w:bCs/>
          <w:color w:val="000000"/>
          <w:kern w:val="0"/>
          <w:sz w:val="28"/>
          <w:szCs w:val="28"/>
          <w:highlight w:val="none"/>
          <w:lang w:val="en-US" w:eastAsia="zh-CN"/>
        </w:rPr>
        <w:t>3</w:t>
      </w:r>
      <w:r>
        <w:rPr>
          <w:rFonts w:hint="eastAsia" w:ascii="仿宋_GB2312" w:hAnsi="仿宋_GB2312" w:eastAsia="仿宋_GB2312" w:cs="仿宋_GB2312"/>
          <w:bCs/>
          <w:color w:val="000000"/>
          <w:kern w:val="0"/>
          <w:sz w:val="28"/>
          <w:szCs w:val="28"/>
          <w:highlight w:val="none"/>
        </w:rPr>
        <w:t>0秒</w:t>
      </w:r>
      <w:r>
        <w:rPr>
          <w:rFonts w:hint="eastAsia" w:ascii="仿宋_GB2312" w:hAnsi="仿宋_GB2312" w:eastAsia="仿宋_GB2312" w:cs="仿宋_GB2312"/>
          <w:bCs/>
          <w:color w:val="000000"/>
          <w:kern w:val="0"/>
          <w:sz w:val="28"/>
          <w:szCs w:val="28"/>
        </w:rPr>
        <w:t>。</w:t>
      </w:r>
    </w:p>
    <w:p w14:paraId="5AFFD8C0">
      <w:pPr>
        <w:rPr>
          <w:rFonts w:ascii="Cambria" w:hAnsi="Cambria"/>
        </w:rPr>
      </w:pPr>
      <w:r>
        <w:rPr>
          <w:rFonts w:hint="eastAsia" w:ascii="Cambria" w:hAnsi="Cambria" w:eastAsia="楷体_GB2312" w:cs="楷体_GB2312"/>
          <w:color w:val="000000"/>
          <w:kern w:val="0"/>
          <w:sz w:val="28"/>
          <w:szCs w:val="28"/>
        </w:rPr>
        <w:t xml:space="preserve"> 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07A66AB6-53D5-48A6-ADF7-144D063A11FE}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  <w:embedRegular r:id="rId2" w:fontKey="{FEF4910C-8539-44DE-BCAA-1BF6748CACB4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F39A8B22-A300-40C4-BAB8-46CFA7A2DAA8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4" w:fontKey="{8E820444-6A92-44F6-8680-651B6600AD4C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5" w:fontKey="{2DAF8ADC-357B-47C5-B2F1-FF53D17DF97E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6" w:fontKey="{6568946B-581A-4D37-A55D-A6ABAB21830F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7" w:fontKey="{B54D0330-4AB4-42CF-96B9-6919069BB852}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8" w:fontKey="{D9CC38D5-B777-4123-8D51-F91673FD8669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9" w:fontKey="{F056CBE6-4041-459F-8F1E-48982C0AED3E}"/>
  </w:font>
  <w:font w:name="方正小标宋简体">
    <w:altName w:val="方正小标宋简体"/>
    <w:panose1 w:val="00000000000000000000"/>
    <w:charset w:val="86"/>
    <w:family w:val="auto"/>
    <w:pitch w:val="default"/>
    <w:sig w:usb0="00000000" w:usb1="00000000" w:usb2="00000000" w:usb3="00000000" w:csb0="00040000" w:csb1="00000000"/>
    <w:embedRegular r:id="rId10" w:fontKey="{ACAC81B7-E2E0-4F36-AAEC-C099D5119039}"/>
  </w:font>
  <w:font w:name="方正舒体">
    <w:panose1 w:val="02010601030101010101"/>
    <w:charset w:val="86"/>
    <w:family w:val="auto"/>
    <w:pitch w:val="default"/>
    <w:sig w:usb0="00000003" w:usb1="080E0000" w:usb2="00000000" w:usb3="00000000" w:csb0="00040000" w:csb1="00000000"/>
  </w:font>
  <w:font w:name="___WRD_EMBED_SUB_49">
    <w:altName w:val="微软雅黑"/>
    <w:panose1 w:val="00000000000000000000"/>
    <w:charset w:val="86"/>
    <w:family w:val="auto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  <w:embedRegular r:id="rId11" w:fontKey="{EE20DD5A-A9B3-4FFE-A4A4-AD457C79DBBE}"/>
  </w:font>
  <w:font w:name="___WRD_EMBED_SUB_47">
    <w:altName w:val="微软雅黑"/>
    <w:panose1 w:val="00000000000000000000"/>
    <w:charset w:val="86"/>
    <w:family w:val="modern"/>
    <w:pitch w:val="default"/>
    <w:sig w:usb0="00000000" w:usb1="00000000" w:usb2="00000016" w:usb3="00000000" w:csb0="00040001" w:csb1="0000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10" w:usb3="00000000" w:csb0="00040000" w:csb1="00000000"/>
    <w:embedRegular r:id="rId12" w:fontKey="{6CB27ABE-FE3C-437A-8C0D-68BF71A1EF19}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方正大标宋简体">
    <w:panose1 w:val="02000000000000000000"/>
    <w:charset w:val="86"/>
    <w:family w:val="auto"/>
    <w:pitch w:val="default"/>
    <w:sig w:usb0="A00002BF" w:usb1="184F6CFA" w:usb2="00000012" w:usb3="00000000" w:csb0="00040001" w:csb1="00000000"/>
  </w:font>
  <w:font w:name="方正仿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方正公文小标宋">
    <w:panose1 w:val="02000500000000000000"/>
    <w:charset w:val="86"/>
    <w:family w:val="auto"/>
    <w:pitch w:val="default"/>
    <w:sig w:usb0="A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ED50B1D"/>
    <w:multiLevelType w:val="multilevel"/>
    <w:tmpl w:val="1ED50B1D"/>
    <w:lvl w:ilvl="0" w:tentative="0">
      <w:start w:val="1"/>
      <w:numFmt w:val="japaneseCounting"/>
      <w:lvlText w:val="%1、"/>
      <w:lvlJc w:val="left"/>
      <w:pPr>
        <w:ind w:left="136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520" w:hanging="440"/>
      </w:pPr>
    </w:lvl>
    <w:lvl w:ilvl="2" w:tentative="0">
      <w:start w:val="1"/>
      <w:numFmt w:val="lowerRoman"/>
      <w:lvlText w:val="%3."/>
      <w:lvlJc w:val="right"/>
      <w:pPr>
        <w:ind w:left="1960" w:hanging="440"/>
      </w:pPr>
    </w:lvl>
    <w:lvl w:ilvl="3" w:tentative="0">
      <w:start w:val="1"/>
      <w:numFmt w:val="decimal"/>
      <w:lvlText w:val="%4."/>
      <w:lvlJc w:val="left"/>
      <w:pPr>
        <w:ind w:left="2400" w:hanging="440"/>
      </w:pPr>
    </w:lvl>
    <w:lvl w:ilvl="4" w:tentative="0">
      <w:start w:val="1"/>
      <w:numFmt w:val="lowerLetter"/>
      <w:lvlText w:val="%5)"/>
      <w:lvlJc w:val="left"/>
      <w:pPr>
        <w:ind w:left="2840" w:hanging="440"/>
      </w:pPr>
    </w:lvl>
    <w:lvl w:ilvl="5" w:tentative="0">
      <w:start w:val="1"/>
      <w:numFmt w:val="lowerRoman"/>
      <w:lvlText w:val="%6."/>
      <w:lvlJc w:val="right"/>
      <w:pPr>
        <w:ind w:left="3280" w:hanging="440"/>
      </w:pPr>
    </w:lvl>
    <w:lvl w:ilvl="6" w:tentative="0">
      <w:start w:val="1"/>
      <w:numFmt w:val="decimal"/>
      <w:lvlText w:val="%7."/>
      <w:lvlJc w:val="left"/>
      <w:pPr>
        <w:ind w:left="3720" w:hanging="440"/>
      </w:pPr>
    </w:lvl>
    <w:lvl w:ilvl="7" w:tentative="0">
      <w:start w:val="1"/>
      <w:numFmt w:val="lowerLetter"/>
      <w:lvlText w:val="%8)"/>
      <w:lvlJc w:val="left"/>
      <w:pPr>
        <w:ind w:left="4160" w:hanging="440"/>
      </w:pPr>
    </w:lvl>
    <w:lvl w:ilvl="8" w:tentative="0">
      <w:start w:val="1"/>
      <w:numFmt w:val="lowerRoman"/>
      <w:lvlText w:val="%9."/>
      <w:lvlJc w:val="right"/>
      <w:pPr>
        <w:ind w:left="4600" w:hanging="44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zExNGRjYWNkMTdlYmIyMDkzNzNhN2YxNmE4ZTI1MzQifQ=="/>
  </w:docVars>
  <w:rsids>
    <w:rsidRoot w:val="00211E56"/>
    <w:rsid w:val="001412CE"/>
    <w:rsid w:val="00211E56"/>
    <w:rsid w:val="00303C36"/>
    <w:rsid w:val="00363CC5"/>
    <w:rsid w:val="0047622B"/>
    <w:rsid w:val="004B6200"/>
    <w:rsid w:val="00523E24"/>
    <w:rsid w:val="005E7477"/>
    <w:rsid w:val="006E5B90"/>
    <w:rsid w:val="007F1426"/>
    <w:rsid w:val="00BA4C54"/>
    <w:rsid w:val="00C43987"/>
    <w:rsid w:val="00E6434F"/>
    <w:rsid w:val="00E7711D"/>
    <w:rsid w:val="19F76217"/>
    <w:rsid w:val="23D50DFD"/>
    <w:rsid w:val="24421A3A"/>
    <w:rsid w:val="3E795B32"/>
    <w:rsid w:val="6170234B"/>
    <w:rsid w:val="640337A4"/>
    <w:rsid w:val="6A3E57F7"/>
    <w:rsid w:val="79DB27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qFormat/>
    <w:uiPriority w:val="0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qFormat/>
    <w:uiPriority w:val="0"/>
    <w:rPr>
      <w:rFonts w:ascii="Calibri" w:hAnsi="Calibri" w:eastAsia="宋体" w:cs="Times New Roman"/>
      <w:kern w:val="2"/>
      <w:sz w:val="18"/>
      <w:szCs w:val="18"/>
    </w:rPr>
  </w:style>
  <w:style w:type="character" w:customStyle="1" w:styleId="7">
    <w:name w:val="页脚 字符"/>
    <w:basedOn w:val="5"/>
    <w:link w:val="2"/>
    <w:qFormat/>
    <w:uiPriority w:val="0"/>
    <w:rPr>
      <w:rFonts w:ascii="Calibri" w:hAnsi="Calibri" w:eastAsia="宋体" w:cs="Times New Roman"/>
      <w:kern w:val="2"/>
      <w:sz w:val="18"/>
      <w:szCs w:val="18"/>
    </w:rPr>
  </w:style>
  <w:style w:type="paragraph" w:styleId="8">
    <w:name w:val="List Paragraph"/>
    <w:basedOn w:val="1"/>
    <w:unhideWhenUsed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numbering" Target="numbering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2" Type="http://schemas.openxmlformats.org/officeDocument/2006/relationships/font" Target="fonts/font1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449</Words>
  <Characters>466</Characters>
  <Lines>3</Lines>
  <Paragraphs>1</Paragraphs>
  <TotalTime>2</TotalTime>
  <ScaleCrop>false</ScaleCrop>
  <LinksUpToDate>false</LinksUpToDate>
  <CharactersWithSpaces>471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2025-04-16T06:01:00Z</dcterms:created>
  <dc:creator>wcscyy</dc:creator>
  <cp:lastModifiedBy>六六</cp:lastModifiedBy>
  <dcterms:modified xsi:type="dcterms:W3CDTF">2025-04-16T08:37:36Z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ICV">
    <vt:lpwstr>A884AE7B80C948349F90329DFD10355E_13</vt:lpwstr>
  </property>
  <property fmtid="{D5CDD505-2E9C-101B-9397-08002B2CF9AE}" pid="4" name="KSOTemplateDocerSaveRecord">
    <vt:lpwstr>eyJoZGlkIjoiYjc1NzhmYTRhMmJhNTYwZTNhYzYwMjQxMWZkMGE5MDgiLCJ1c2VySWQiOiIyNzYwMDM5MjIifQ==</vt:lpwstr>
  </property>
</Properties>
</file>