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1777276">
      <w:pPr>
        <w:keepNext w:val="0"/>
        <w:keepLines w:val="0"/>
        <w:pageBreakBefore w:val="0"/>
        <w:kinsoku/>
        <w:overflowPunct/>
        <w:topLinePunct w:val="0"/>
        <w:autoSpaceDE/>
        <w:autoSpaceDN/>
        <w:bidi w:val="0"/>
        <w:spacing w:line="600" w:lineRule="exact"/>
        <w:jc w:val="center"/>
        <w:rPr>
          <w:rFonts w:hint="eastAsia" w:ascii="仿宋" w:eastAsia="仿宋" w:cs="Times New Roman"/>
          <w:sz w:val="32"/>
          <w:szCs w:val="32"/>
        </w:rPr>
      </w:pPr>
    </w:p>
    <w:p w14:paraId="4E6ED555">
      <w:pPr>
        <w:keepNext w:val="0"/>
        <w:keepLines w:val="0"/>
        <w:pageBreakBefore w:val="0"/>
        <w:kinsoku/>
        <w:overflowPunct/>
        <w:topLinePunct w:val="0"/>
        <w:autoSpaceDE/>
        <w:autoSpaceDN/>
        <w:bidi w:val="0"/>
        <w:spacing w:line="600" w:lineRule="exact"/>
        <w:jc w:val="center"/>
        <w:rPr>
          <w:rFonts w:hint="eastAsia" w:ascii="仿宋" w:eastAsia="仿宋" w:cs="Times New Roman"/>
          <w:sz w:val="32"/>
          <w:szCs w:val="32"/>
        </w:rPr>
      </w:pPr>
    </w:p>
    <w:p w14:paraId="0CFB0E20">
      <w:pPr>
        <w:keepNext w:val="0"/>
        <w:keepLines w:val="0"/>
        <w:pageBreakBefore w:val="0"/>
        <w:kinsoku/>
        <w:overflowPunct/>
        <w:topLinePunct w:val="0"/>
        <w:autoSpaceDE/>
        <w:autoSpaceDN/>
        <w:bidi w:val="0"/>
        <w:spacing w:line="600" w:lineRule="exact"/>
        <w:jc w:val="center"/>
        <w:rPr>
          <w:rFonts w:hint="eastAsia" w:ascii="仿宋" w:eastAsia="仿宋" w:cs="Times New Roman"/>
          <w:sz w:val="32"/>
          <w:szCs w:val="32"/>
        </w:rPr>
      </w:pPr>
    </w:p>
    <w:p w14:paraId="165998DA">
      <w:pPr>
        <w:keepNext w:val="0"/>
        <w:keepLines w:val="0"/>
        <w:pageBreakBefore w:val="0"/>
        <w:kinsoku/>
        <w:overflowPunct/>
        <w:topLinePunct w:val="0"/>
        <w:autoSpaceDE/>
        <w:autoSpaceDN/>
        <w:bidi w:val="0"/>
        <w:spacing w:line="600" w:lineRule="exact"/>
        <w:jc w:val="center"/>
        <w:rPr>
          <w:rFonts w:hint="eastAsia" w:ascii="仿宋" w:eastAsia="仿宋" w:cs="Times New Roman"/>
          <w:sz w:val="32"/>
          <w:szCs w:val="32"/>
        </w:rPr>
      </w:pPr>
    </w:p>
    <w:p w14:paraId="064991A8">
      <w:pPr>
        <w:keepNext w:val="0"/>
        <w:keepLines w:val="0"/>
        <w:pageBreakBefore w:val="0"/>
        <w:kinsoku/>
        <w:overflowPunct/>
        <w:topLinePunct w:val="0"/>
        <w:autoSpaceDE/>
        <w:autoSpaceDN/>
        <w:bidi w:val="0"/>
        <w:spacing w:line="600" w:lineRule="exact"/>
        <w:jc w:val="center"/>
        <w:rPr>
          <w:rFonts w:hint="default" w:ascii="仿宋_GB2312" w:eastAsia="仿宋_GB2312"/>
          <w:sz w:val="32"/>
          <w:szCs w:val="32"/>
          <w:lang w:val="en-US" w:eastAsia="zh-CN"/>
        </w:rPr>
      </w:pPr>
      <w:r>
        <w:rPr>
          <w:rFonts w:hint="eastAsia" w:ascii="仿宋_GB2312" w:hAnsi="仿宋_GB2312" w:eastAsia="仿宋_GB2312" w:cs="仿宋_GB2312"/>
          <w:sz w:val="32"/>
          <w:szCs w:val="32"/>
        </w:rPr>
        <w:t>协院创〔202</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9号</w:t>
      </w:r>
    </w:p>
    <w:p w14:paraId="4F657ED2">
      <w:pPr>
        <w:keepNext w:val="0"/>
        <w:keepLines w:val="0"/>
        <w:pageBreakBefore w:val="0"/>
        <w:kinsoku/>
        <w:overflowPunct/>
        <w:topLinePunct w:val="0"/>
        <w:autoSpaceDE/>
        <w:autoSpaceDN/>
        <w:bidi w:val="0"/>
        <w:spacing w:line="600" w:lineRule="exact"/>
        <w:jc w:val="center"/>
        <w:rPr>
          <w:rFonts w:hint="eastAsia" w:ascii="仿宋" w:eastAsia="仿宋" w:cs="Times New Roman"/>
          <w:sz w:val="32"/>
          <w:szCs w:val="32"/>
        </w:rPr>
      </w:pPr>
      <w:bookmarkStart w:id="0" w:name="_GoBack"/>
      <w:bookmarkEnd w:id="0"/>
    </w:p>
    <w:p w14:paraId="03BF1F40">
      <w:pPr>
        <w:keepNext w:val="0"/>
        <w:keepLines w:val="0"/>
        <w:pageBreakBefore w:val="0"/>
        <w:kinsoku/>
        <w:overflowPunct/>
        <w:topLinePunct w:val="0"/>
        <w:autoSpaceDE/>
        <w:autoSpaceDN/>
        <w:bidi w:val="0"/>
        <w:spacing w:line="600" w:lineRule="exact"/>
        <w:jc w:val="center"/>
        <w:rPr>
          <w:rFonts w:hint="eastAsia" w:ascii="仿宋" w:eastAsia="仿宋" w:cs="Times New Roman"/>
          <w:sz w:val="32"/>
          <w:szCs w:val="32"/>
        </w:rPr>
      </w:pPr>
    </w:p>
    <w:p w14:paraId="561E8F60">
      <w:pPr>
        <w:keepNext w:val="0"/>
        <w:keepLines w:val="0"/>
        <w:pageBreakBefore w:val="0"/>
        <w:kinsoku/>
        <w:wordWrap/>
        <w:overflowPunct/>
        <w:topLinePunct w:val="0"/>
        <w:autoSpaceDE/>
        <w:autoSpaceDN/>
        <w:bidi w:val="0"/>
        <w:spacing w:line="600" w:lineRule="exact"/>
        <w:jc w:val="center"/>
        <w:rPr>
          <w:rFonts w:hint="eastAsia" w:ascii="方正小标宋简体" w:hAnsi="方正小标宋简体" w:eastAsia="方正小标宋简体" w:cs="方正小标宋简体"/>
          <w:b w:val="0"/>
          <w:bCs w:val="0"/>
          <w:kern w:val="0"/>
          <w:sz w:val="44"/>
          <w:szCs w:val="44"/>
          <w:lang w:val="en-US" w:eastAsia="zh-CN" w:bidi="ar-SA"/>
        </w:rPr>
      </w:pPr>
      <w:r>
        <w:rPr>
          <w:rFonts w:hint="eastAsia" w:ascii="方正小标宋简体" w:hAnsi="方正小标宋简体" w:eastAsia="方正小标宋简体" w:cs="方正小标宋简体"/>
          <w:b w:val="0"/>
          <w:bCs w:val="0"/>
          <w:kern w:val="0"/>
          <w:sz w:val="44"/>
          <w:szCs w:val="44"/>
          <w:lang w:val="en-US" w:eastAsia="zh-CN" w:bidi="ar-SA"/>
        </w:rPr>
        <w:t>关于举办福建师范大学协和学院大学生</w:t>
      </w:r>
    </w:p>
    <w:p w14:paraId="6D6F2765">
      <w:pPr>
        <w:keepNext w:val="0"/>
        <w:keepLines w:val="0"/>
        <w:pageBreakBefore w:val="0"/>
        <w:kinsoku/>
        <w:wordWrap/>
        <w:overflowPunct/>
        <w:topLinePunct w:val="0"/>
        <w:autoSpaceDE/>
        <w:autoSpaceDN/>
        <w:bidi w:val="0"/>
        <w:spacing w:line="600" w:lineRule="exact"/>
        <w:jc w:val="center"/>
        <w:rPr>
          <w:rFonts w:hint="eastAsia" w:ascii="方正小标宋简体" w:hAnsi="方正小标宋简体" w:eastAsia="方正小标宋简体" w:cs="方正小标宋简体"/>
          <w:kern w:val="0"/>
          <w:sz w:val="44"/>
          <w:szCs w:val="44"/>
        </w:rPr>
      </w:pPr>
      <w:r>
        <w:rPr>
          <w:rFonts w:hint="eastAsia" w:ascii="方正小标宋简体" w:hAnsi="方正小标宋简体" w:eastAsia="方正小标宋简体" w:cs="方正小标宋简体"/>
          <w:b w:val="0"/>
          <w:bCs w:val="0"/>
          <w:kern w:val="0"/>
          <w:sz w:val="44"/>
          <w:szCs w:val="44"/>
          <w:lang w:val="en-US" w:eastAsia="zh-CN" w:bidi="ar-SA"/>
        </w:rPr>
        <w:t>创新大赛（2026）的通知</w:t>
      </w:r>
    </w:p>
    <w:p w14:paraId="5C473F82">
      <w:pPr>
        <w:keepNext w:val="0"/>
        <w:keepLines w:val="0"/>
        <w:pageBreakBefore w:val="0"/>
        <w:widowControl w:val="0"/>
        <w:kinsoku/>
        <w:wordWrap/>
        <w:overflowPunct/>
        <w:topLinePunct w:val="0"/>
        <w:autoSpaceDE/>
        <w:autoSpaceDN/>
        <w:bidi w:val="0"/>
        <w:spacing w:line="600" w:lineRule="exact"/>
        <w:contextualSpacing/>
        <w:jc w:val="center"/>
        <w:rPr>
          <w:rFonts w:hint="eastAsia" w:ascii="方正小标宋简体" w:hAnsi="方正小标宋简体" w:eastAsia="方正小标宋简体" w:cs="方正小标宋简体"/>
          <w:b w:val="0"/>
          <w:bCs w:val="0"/>
          <w:kern w:val="0"/>
          <w:sz w:val="44"/>
          <w:szCs w:val="44"/>
          <w:lang w:val="en-US" w:eastAsia="en-US" w:bidi="ar-SA"/>
        </w:rPr>
      </w:pPr>
    </w:p>
    <w:p w14:paraId="345C34C5">
      <w:pPr>
        <w:pStyle w:val="6"/>
        <w:keepNext w:val="0"/>
        <w:keepLines w:val="0"/>
        <w:pageBreakBefore w:val="0"/>
        <w:kinsoku/>
        <w:wordWrap/>
        <w:overflowPunct/>
        <w:topLinePunct w:val="0"/>
        <w:autoSpaceDE/>
        <w:autoSpaceDN/>
        <w:bidi w:val="0"/>
        <w:spacing w:before="156" w:beforeAutospacing="0" w:after="156" w:afterAutospacing="0" w:line="600" w:lineRule="exact"/>
        <w:contextualSpacing/>
        <w:jc w:val="both"/>
        <w:rPr>
          <w:rFonts w:hint="eastAsia" w:ascii="仿宋_GB2312" w:hAnsi="仿宋" w:eastAsia="仿宋_GB2312" w:cs="仿宋"/>
          <w:bCs/>
          <w:kern w:val="2"/>
          <w:sz w:val="32"/>
          <w:szCs w:val="32"/>
        </w:rPr>
      </w:pPr>
      <w:r>
        <w:rPr>
          <w:rFonts w:hint="eastAsia" w:ascii="仿宋_GB2312" w:hAnsi="仿宋" w:eastAsia="仿宋_GB2312" w:cs="仿宋"/>
          <w:bCs/>
          <w:kern w:val="2"/>
          <w:sz w:val="32"/>
          <w:szCs w:val="32"/>
        </w:rPr>
        <w:t>各系、国际教育学院：</w:t>
      </w:r>
    </w:p>
    <w:p w14:paraId="746B3216">
      <w:pPr>
        <w:pStyle w:val="6"/>
        <w:keepNext w:val="0"/>
        <w:keepLines w:val="0"/>
        <w:pageBreakBefore w:val="0"/>
        <w:widowControl/>
        <w:kinsoku/>
        <w:wordWrap/>
        <w:overflowPunct/>
        <w:topLinePunct w:val="0"/>
        <w:autoSpaceDE/>
        <w:autoSpaceDN/>
        <w:bidi w:val="0"/>
        <w:spacing w:beforeAutospacing="0" w:afterAutospacing="0" w:line="600" w:lineRule="exact"/>
        <w:ind w:firstLine="640" w:firstLineChars="200"/>
        <w:jc w:val="both"/>
        <w:rPr>
          <w:rFonts w:hint="eastAsia" w:ascii="仿宋_GB2312" w:hAnsi="仿宋" w:eastAsia="仿宋_GB2312" w:cs="仿宋"/>
          <w:bCs/>
          <w:kern w:val="2"/>
          <w:sz w:val="32"/>
          <w:szCs w:val="32"/>
          <w:highlight w:val="none"/>
        </w:rPr>
      </w:pPr>
      <w:r>
        <w:rPr>
          <w:rFonts w:hint="eastAsia" w:ascii="仿宋_GB2312" w:hAnsi="仿宋" w:eastAsia="仿宋_GB2312" w:cs="仿宋"/>
          <w:bCs/>
          <w:kern w:val="2"/>
          <w:sz w:val="32"/>
          <w:szCs w:val="32"/>
        </w:rPr>
        <w:t>为</w:t>
      </w:r>
      <w:r>
        <w:rPr>
          <w:rFonts w:hint="eastAsia" w:ascii="仿宋_GB2312" w:hAnsi="仿宋" w:eastAsia="仿宋_GB2312" w:cs="仿宋"/>
          <w:bCs/>
          <w:kern w:val="2"/>
          <w:sz w:val="32"/>
          <w:szCs w:val="32"/>
          <w:lang w:val="en-US" w:eastAsia="zh-CN"/>
        </w:rPr>
        <w:t>深入贯彻落实习近平总书记给中国国际大学生创新大赛参赛学生代表的重要回信和</w:t>
      </w:r>
      <w:r>
        <w:rPr>
          <w:rFonts w:hint="eastAsia" w:ascii="仿宋_GB2312" w:hAnsi="仿宋" w:eastAsia="仿宋_GB2312" w:cs="仿宋"/>
          <w:bCs/>
          <w:kern w:val="2"/>
          <w:sz w:val="32"/>
          <w:szCs w:val="32"/>
        </w:rPr>
        <w:t>给</w:t>
      </w:r>
      <w:r>
        <w:rPr>
          <w:rFonts w:hint="eastAsia" w:ascii="仿宋_GB2312" w:hAnsi="仿宋" w:eastAsia="仿宋_GB2312" w:cs="仿宋"/>
          <w:bCs/>
          <w:kern w:val="2"/>
          <w:sz w:val="32"/>
          <w:szCs w:val="32"/>
          <w:lang w:val="en-US" w:eastAsia="zh-CN"/>
        </w:rPr>
        <w:t>大赛</w:t>
      </w:r>
      <w:r>
        <w:rPr>
          <w:rFonts w:hint="eastAsia" w:ascii="仿宋_GB2312" w:hAnsi="仿宋" w:eastAsia="仿宋_GB2312" w:cs="仿宋"/>
          <w:bCs/>
          <w:kern w:val="2"/>
          <w:sz w:val="32"/>
          <w:szCs w:val="32"/>
          <w:lang w:eastAsia="zh-CN"/>
        </w:rPr>
        <w:t>“</w:t>
      </w:r>
      <w:r>
        <w:rPr>
          <w:rFonts w:hint="eastAsia" w:ascii="仿宋_GB2312" w:hAnsi="仿宋" w:eastAsia="仿宋_GB2312" w:cs="仿宋"/>
          <w:bCs/>
          <w:kern w:val="2"/>
          <w:sz w:val="32"/>
          <w:szCs w:val="32"/>
        </w:rPr>
        <w:t>青年红色筑梦之旅</w:t>
      </w:r>
      <w:r>
        <w:rPr>
          <w:rFonts w:hint="eastAsia" w:ascii="仿宋_GB2312" w:hAnsi="仿宋" w:eastAsia="仿宋_GB2312" w:cs="仿宋"/>
          <w:bCs/>
          <w:kern w:val="2"/>
          <w:sz w:val="32"/>
          <w:szCs w:val="32"/>
          <w:lang w:val="en-US" w:eastAsia="zh-CN"/>
        </w:rPr>
        <w:t>”</w:t>
      </w:r>
      <w:r>
        <w:rPr>
          <w:rFonts w:hint="eastAsia" w:ascii="仿宋_GB2312" w:hAnsi="仿宋" w:eastAsia="仿宋_GB2312" w:cs="仿宋"/>
          <w:bCs/>
          <w:kern w:val="2"/>
          <w:sz w:val="32"/>
          <w:szCs w:val="32"/>
        </w:rPr>
        <w:t>大学生重要回信精神,</w:t>
      </w:r>
      <w:r>
        <w:rPr>
          <w:rFonts w:hint="eastAsia" w:ascii="仿宋_GB2312" w:hAnsi="仿宋" w:eastAsia="仿宋_GB2312" w:cs="仿宋"/>
          <w:bCs/>
          <w:kern w:val="2"/>
          <w:sz w:val="32"/>
          <w:szCs w:val="32"/>
          <w:lang w:eastAsia="zh-CN"/>
        </w:rPr>
        <w:t>落实省委省政府关于支持大学生创新创业的工作要求</w:t>
      </w:r>
      <w:r>
        <w:rPr>
          <w:rFonts w:hint="eastAsia" w:ascii="仿宋_GB2312" w:hAnsi="仿宋" w:eastAsia="仿宋_GB2312" w:cs="仿宋"/>
          <w:bCs/>
          <w:kern w:val="2"/>
          <w:sz w:val="32"/>
          <w:szCs w:val="32"/>
          <w:lang w:val="en-US" w:eastAsia="zh-CN"/>
        </w:rPr>
        <w:t>，推动</w:t>
      </w:r>
      <w:r>
        <w:rPr>
          <w:rFonts w:hint="eastAsia" w:ascii="仿宋_GB2312" w:hAnsi="仿宋" w:eastAsia="仿宋_GB2312" w:cs="仿宋"/>
          <w:bCs/>
          <w:kern w:val="2"/>
          <w:sz w:val="32"/>
          <w:szCs w:val="32"/>
        </w:rPr>
        <w:t>创新教育贯穿教育活动全过程，</w:t>
      </w:r>
      <w:r>
        <w:rPr>
          <w:rFonts w:hint="eastAsia" w:ascii="仿宋_GB2312" w:hAnsi="仿宋" w:eastAsia="仿宋_GB2312" w:cs="仿宋"/>
          <w:bCs/>
          <w:kern w:val="2"/>
          <w:sz w:val="32"/>
          <w:szCs w:val="32"/>
          <w:lang w:val="en-US" w:eastAsia="zh-CN"/>
        </w:rPr>
        <w:t>加强拔尖创新人才自主培养</w:t>
      </w:r>
      <w:r>
        <w:rPr>
          <w:rFonts w:hint="eastAsia" w:ascii="仿宋_GB2312" w:hAnsi="仿宋" w:eastAsia="仿宋_GB2312" w:cs="仿宋"/>
          <w:bCs/>
          <w:kern w:val="2"/>
          <w:sz w:val="32"/>
          <w:szCs w:val="32"/>
        </w:rPr>
        <w:t>，</w:t>
      </w:r>
      <w:r>
        <w:rPr>
          <w:rFonts w:hint="eastAsia" w:ascii="仿宋_GB2312" w:hAnsi="仿宋" w:eastAsia="仿宋_GB2312" w:cs="仿宋"/>
          <w:bCs/>
          <w:kern w:val="2"/>
          <w:sz w:val="32"/>
          <w:szCs w:val="32"/>
          <w:lang w:val="en-US" w:eastAsia="zh-CN"/>
        </w:rPr>
        <w:t>加快推进科技成果转化落地，</w:t>
      </w:r>
      <w:r>
        <w:rPr>
          <w:rFonts w:hint="eastAsia" w:ascii="仿宋_GB2312" w:hAnsi="仿宋" w:eastAsia="仿宋_GB2312" w:cs="仿宋"/>
          <w:bCs/>
          <w:kern w:val="2"/>
          <w:sz w:val="32"/>
          <w:szCs w:val="32"/>
        </w:rPr>
        <w:t>学院决定举办大学生创新大赛（202</w:t>
      </w:r>
      <w:r>
        <w:rPr>
          <w:rFonts w:hint="eastAsia" w:ascii="仿宋_GB2312" w:hAnsi="仿宋" w:eastAsia="仿宋_GB2312" w:cs="仿宋"/>
          <w:bCs/>
          <w:kern w:val="2"/>
          <w:sz w:val="32"/>
          <w:szCs w:val="32"/>
          <w:lang w:val="en-US" w:eastAsia="zh-CN"/>
        </w:rPr>
        <w:t>6</w:t>
      </w:r>
      <w:r>
        <w:rPr>
          <w:rFonts w:hint="eastAsia" w:ascii="仿宋_GB2312" w:hAnsi="仿宋" w:eastAsia="仿宋_GB2312" w:cs="仿宋"/>
          <w:bCs/>
          <w:kern w:val="2"/>
          <w:sz w:val="32"/>
          <w:szCs w:val="32"/>
        </w:rPr>
        <w:t>），现将有关事项通知如下：</w:t>
      </w:r>
    </w:p>
    <w:p w14:paraId="3D35EC08">
      <w:pPr>
        <w:pStyle w:val="6"/>
        <w:keepNext w:val="0"/>
        <w:keepLines w:val="0"/>
        <w:pageBreakBefore w:val="0"/>
        <w:widowControl/>
        <w:kinsoku/>
        <w:wordWrap/>
        <w:overflowPunct/>
        <w:topLinePunct w:val="0"/>
        <w:autoSpaceDE/>
        <w:autoSpaceDN/>
        <w:bidi w:val="0"/>
        <w:spacing w:beforeAutospacing="0" w:afterAutospacing="0" w:line="600" w:lineRule="exact"/>
        <w:ind w:firstLine="640" w:firstLineChars="200"/>
        <w:jc w:val="both"/>
        <w:rPr>
          <w:rFonts w:hint="eastAsia" w:ascii="黑体" w:hAnsi="黑体" w:eastAsia="黑体" w:cs="黑体"/>
          <w:kern w:val="2"/>
          <w:sz w:val="32"/>
          <w:szCs w:val="32"/>
          <w:lang w:eastAsia="zh-Hans"/>
        </w:rPr>
      </w:pPr>
      <w:r>
        <w:rPr>
          <w:rFonts w:hint="eastAsia" w:ascii="黑体" w:hAnsi="黑体" w:eastAsia="黑体" w:cs="黑体"/>
          <w:kern w:val="2"/>
          <w:sz w:val="32"/>
          <w:szCs w:val="32"/>
          <w:lang w:eastAsia="zh-Hans"/>
        </w:rPr>
        <w:t>一、大赛主题</w:t>
      </w:r>
    </w:p>
    <w:p w14:paraId="58ACD302">
      <w:pPr>
        <w:widowControl/>
        <w:spacing w:after="150" w:line="600" w:lineRule="exact"/>
        <w:ind w:firstLine="640" w:firstLineChars="200"/>
        <w:rPr>
          <w:rFonts w:hint="eastAsia" w:ascii="仿宋_GB2312" w:hAnsi="仿宋" w:eastAsia="仿宋_GB2312" w:cs="仿宋"/>
          <w:bCs/>
          <w:sz w:val="32"/>
          <w:szCs w:val="32"/>
        </w:rPr>
      </w:pPr>
      <w:r>
        <w:rPr>
          <w:rFonts w:hint="eastAsia" w:ascii="仿宋_GB2312" w:hAnsi="仿宋_GB2312" w:eastAsia="仿宋_GB2312" w:cs="仿宋_GB2312"/>
          <w:kern w:val="2"/>
          <w:sz w:val="32"/>
          <w:szCs w:val="32"/>
          <w:lang w:val="en-US" w:eastAsia="zh-CN" w:bidi="ar-SA"/>
        </w:rPr>
        <w:t>我敢闯，我会创</w:t>
      </w:r>
      <w:r>
        <w:rPr>
          <w:rFonts w:hint="eastAsia" w:ascii="仿宋_GB2312" w:hAnsi="仿宋" w:eastAsia="仿宋_GB2312" w:cs="仿宋"/>
          <w:bCs/>
          <w:sz w:val="32"/>
          <w:szCs w:val="32"/>
        </w:rPr>
        <w:t>。</w:t>
      </w:r>
    </w:p>
    <w:p w14:paraId="7927E756">
      <w:pPr>
        <w:pStyle w:val="6"/>
        <w:keepNext w:val="0"/>
        <w:keepLines w:val="0"/>
        <w:pageBreakBefore w:val="0"/>
        <w:widowControl/>
        <w:kinsoku/>
        <w:wordWrap/>
        <w:overflowPunct/>
        <w:topLinePunct w:val="0"/>
        <w:autoSpaceDE/>
        <w:autoSpaceDN/>
        <w:bidi w:val="0"/>
        <w:spacing w:beforeAutospacing="0" w:afterAutospacing="0" w:line="600" w:lineRule="exact"/>
        <w:ind w:firstLine="640" w:firstLineChars="200"/>
        <w:jc w:val="both"/>
        <w:rPr>
          <w:rFonts w:hint="eastAsia" w:ascii="黑体" w:hAnsi="黑体" w:eastAsia="黑体" w:cs="黑体"/>
          <w:kern w:val="2"/>
          <w:sz w:val="32"/>
          <w:szCs w:val="32"/>
          <w:lang w:eastAsia="zh-Hans"/>
        </w:rPr>
      </w:pPr>
      <w:r>
        <w:rPr>
          <w:rFonts w:hint="eastAsia" w:ascii="黑体" w:hAnsi="黑体" w:eastAsia="黑体" w:cs="黑体"/>
          <w:kern w:val="2"/>
          <w:sz w:val="32"/>
          <w:szCs w:val="32"/>
          <w:lang w:eastAsia="zh-Hans"/>
        </w:rPr>
        <w:t>二、组织机构</w:t>
      </w:r>
    </w:p>
    <w:p w14:paraId="0AE2D8DD">
      <w:pPr>
        <w:keepNext w:val="0"/>
        <w:keepLines w:val="0"/>
        <w:pageBreakBefore w:val="0"/>
        <w:kinsoku/>
        <w:wordWrap/>
        <w:overflowPunct/>
        <w:topLinePunct w:val="0"/>
        <w:autoSpaceDE/>
        <w:autoSpaceDN/>
        <w:bidi w:val="0"/>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主办单位：福建师范大学协和学院创新创业学院</w:t>
      </w:r>
    </w:p>
    <w:p w14:paraId="3BA64B43">
      <w:pPr>
        <w:keepNext w:val="0"/>
        <w:keepLines w:val="0"/>
        <w:pageBreakBefore w:val="0"/>
        <w:kinsoku/>
        <w:wordWrap/>
        <w:overflowPunct/>
        <w:topLinePunct w:val="0"/>
        <w:autoSpaceDE/>
        <w:autoSpaceDN/>
        <w:bidi w:val="0"/>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承办单位：福建师范大学协和学院大学生创新创业服务联盟</w:t>
      </w:r>
    </w:p>
    <w:p w14:paraId="75A20CEC">
      <w:pPr>
        <w:pStyle w:val="6"/>
        <w:keepNext w:val="0"/>
        <w:keepLines w:val="0"/>
        <w:pageBreakBefore w:val="0"/>
        <w:widowControl/>
        <w:kinsoku/>
        <w:wordWrap/>
        <w:overflowPunct/>
        <w:topLinePunct w:val="0"/>
        <w:autoSpaceDE/>
        <w:autoSpaceDN/>
        <w:bidi w:val="0"/>
        <w:spacing w:beforeAutospacing="0" w:afterAutospacing="0" w:line="600" w:lineRule="exact"/>
        <w:ind w:firstLine="640" w:firstLineChars="200"/>
        <w:jc w:val="both"/>
        <w:rPr>
          <w:rFonts w:hint="eastAsia" w:ascii="黑体" w:hAnsi="黑体" w:eastAsia="黑体" w:cs="黑体"/>
          <w:kern w:val="2"/>
          <w:sz w:val="32"/>
          <w:szCs w:val="32"/>
          <w:lang w:eastAsia="zh-Hans"/>
        </w:rPr>
      </w:pPr>
      <w:r>
        <w:rPr>
          <w:rFonts w:hint="eastAsia" w:ascii="黑体" w:hAnsi="黑体" w:eastAsia="黑体" w:cs="黑体"/>
          <w:kern w:val="2"/>
          <w:sz w:val="32"/>
          <w:szCs w:val="32"/>
          <w:lang w:eastAsia="zh-Hans"/>
        </w:rPr>
        <w:t>三、大赛时间</w:t>
      </w:r>
    </w:p>
    <w:p w14:paraId="64D6B3CA">
      <w:pPr>
        <w:widowControl/>
        <w:spacing w:after="150" w:line="600" w:lineRule="exact"/>
        <w:ind w:firstLine="640" w:firstLineChars="200"/>
        <w:rPr>
          <w:rFonts w:hint="eastAsia" w:ascii="仿宋_GB2312" w:hAnsi="Tahoma" w:eastAsia="仿宋_GB2312" w:cs="Tahoma"/>
          <w:kern w:val="2"/>
          <w:sz w:val="32"/>
          <w:szCs w:val="32"/>
          <w:lang w:val="en-US" w:eastAsia="zh-CN" w:bidi="ar-SA"/>
        </w:rPr>
      </w:pPr>
      <w:r>
        <w:rPr>
          <w:rFonts w:hint="eastAsia" w:ascii="仿宋_GB2312" w:hAnsi="Tahoma" w:eastAsia="仿宋_GB2312" w:cs="Tahoma"/>
          <w:kern w:val="2"/>
          <w:sz w:val="32"/>
          <w:szCs w:val="32"/>
          <w:lang w:val="en-US" w:eastAsia="zh-CN" w:bidi="ar-SA"/>
        </w:rPr>
        <w:t>2026年4月-2026年6月</w:t>
      </w:r>
    </w:p>
    <w:p w14:paraId="1BBC488B">
      <w:pPr>
        <w:tabs>
          <w:tab w:val="center" w:pos="4153"/>
        </w:tabs>
        <w:spacing w:line="600" w:lineRule="exact"/>
        <w:ind w:firstLine="640" w:firstLineChars="200"/>
        <w:rPr>
          <w:rFonts w:hint="eastAsia" w:ascii="黑体" w:hAnsi="黑体" w:eastAsia="黑体" w:cs="黑体"/>
          <w:bCs/>
          <w:color w:val="000000"/>
          <w:sz w:val="32"/>
          <w:szCs w:val="21"/>
          <w:lang w:eastAsia="zh-Hans"/>
        </w:rPr>
      </w:pPr>
      <w:r>
        <w:rPr>
          <w:rFonts w:hint="eastAsia" w:ascii="黑体" w:hAnsi="黑体" w:eastAsia="黑体" w:cs="黑体"/>
          <w:bCs/>
          <w:color w:val="000000"/>
          <w:sz w:val="32"/>
          <w:szCs w:val="21"/>
          <w:lang w:eastAsia="zh-Hans"/>
        </w:rPr>
        <w:t>四</w:t>
      </w:r>
      <w:r>
        <w:rPr>
          <w:rFonts w:hint="eastAsia" w:ascii="黑体" w:hAnsi="黑体" w:eastAsia="黑体" w:cs="黑体"/>
          <w:kern w:val="2"/>
          <w:sz w:val="32"/>
          <w:szCs w:val="32"/>
          <w:lang w:val="en-US" w:eastAsia="zh-Hans" w:bidi="ar-SA"/>
        </w:rPr>
        <w:t>、总体安排</w:t>
      </w:r>
    </w:p>
    <w:p w14:paraId="2137AF26">
      <w:pPr>
        <w:widowControl/>
        <w:spacing w:after="150" w:line="600" w:lineRule="exact"/>
        <w:ind w:firstLine="640" w:firstLineChars="200"/>
        <w:rPr>
          <w:rFonts w:hint="eastAsia" w:ascii="仿宋_GB2312" w:hAnsi="Tahoma" w:eastAsia="仿宋_GB2312" w:cs="Tahoma"/>
          <w:kern w:val="2"/>
          <w:sz w:val="32"/>
          <w:szCs w:val="32"/>
          <w:lang w:val="en-US" w:eastAsia="zh-CN" w:bidi="ar-SA"/>
        </w:rPr>
      </w:pPr>
      <w:r>
        <w:rPr>
          <w:rFonts w:hint="eastAsia" w:ascii="仿宋_GB2312" w:hAnsi="Tahoma" w:eastAsia="仿宋_GB2312" w:cs="Tahoma"/>
          <w:kern w:val="2"/>
          <w:sz w:val="32"/>
          <w:szCs w:val="32"/>
          <w:lang w:val="en-US" w:eastAsia="zh-CN" w:bidi="ar-SA"/>
        </w:rPr>
        <w:t>本届大赛分为高教主赛道和“青年红色筑梦之旅”赛道，高教主赛道分为创意组、创业组；“青年红色筑梦之旅”赛道分为公益组、创意组、创业组。学院按照各系在校师生数、参赛项目报名数和集训营专家反馈意见，结合各系开展创新创业教育工作实绩，统筹分配院赛名额。大赛设金奖、银奖、铜奖。对于在本次大赛中高度重视、精心组织、成绩显著、特色鲜明的单位授予“优秀组织奖”称号。</w:t>
      </w:r>
    </w:p>
    <w:p w14:paraId="7047168D">
      <w:pPr>
        <w:tabs>
          <w:tab w:val="center" w:pos="4153"/>
        </w:tabs>
        <w:spacing w:line="600" w:lineRule="exact"/>
        <w:ind w:firstLine="640" w:firstLineChars="200"/>
        <w:rPr>
          <w:rFonts w:hint="eastAsia" w:ascii="黑体" w:hAnsi="黑体" w:eastAsia="黑体" w:cs="黑体"/>
          <w:bCs/>
          <w:color w:val="000000"/>
          <w:sz w:val="32"/>
          <w:szCs w:val="21"/>
          <w:lang w:eastAsia="zh-Hans"/>
        </w:rPr>
      </w:pPr>
      <w:r>
        <w:rPr>
          <w:rFonts w:hint="eastAsia" w:ascii="黑体" w:hAnsi="黑体" w:eastAsia="黑体" w:cs="黑体"/>
          <w:bCs/>
          <w:color w:val="000000"/>
          <w:sz w:val="32"/>
          <w:szCs w:val="21"/>
        </w:rPr>
        <w:t>五</w:t>
      </w:r>
      <w:r>
        <w:rPr>
          <w:rFonts w:hint="eastAsia" w:ascii="黑体" w:hAnsi="黑体" w:eastAsia="黑体" w:cs="黑体"/>
          <w:bCs/>
          <w:color w:val="000000"/>
          <w:sz w:val="32"/>
          <w:szCs w:val="21"/>
          <w:lang w:eastAsia="zh-Hans"/>
        </w:rPr>
        <w:t>、项目要求</w:t>
      </w:r>
    </w:p>
    <w:p w14:paraId="7238FF94">
      <w:pPr>
        <w:widowControl/>
        <w:spacing w:after="150" w:line="600" w:lineRule="exact"/>
        <w:ind w:firstLine="640" w:firstLineChars="200"/>
        <w:rPr>
          <w:rFonts w:hint="eastAsia" w:ascii="仿宋_GB2312" w:hAnsi="Tahoma" w:eastAsia="仿宋_GB2312" w:cs="Tahoma"/>
          <w:kern w:val="2"/>
          <w:sz w:val="32"/>
          <w:szCs w:val="32"/>
          <w:lang w:val="en-US" w:eastAsia="zh-CN" w:bidi="ar-SA"/>
        </w:rPr>
      </w:pPr>
      <w:r>
        <w:rPr>
          <w:rFonts w:hint="eastAsia" w:ascii="仿宋_GB2312" w:hAnsi="Tahoma" w:eastAsia="仿宋_GB2312" w:cs="Tahoma"/>
          <w:kern w:val="2"/>
          <w:sz w:val="32"/>
          <w:szCs w:val="32"/>
          <w:lang w:val="en-US" w:eastAsia="zh-CN" w:bidi="ar-SA"/>
        </w:rPr>
        <w:t>（一）参赛项目能够紧密结合经济社会各领域现实需求，充分体现高校在新工科、新医科、新农科、新文科建设等方面取得的成果，培育新产品、新服务、新业态、新模式，促进制造业、农业、卫生、能源、环保、战略性新兴产业等产业转型升级，促进人工智能、数字技术与教育、医疗、交通、金融、消费生活、文化传播等深度融合。</w:t>
      </w:r>
    </w:p>
    <w:p w14:paraId="0FB1C163">
      <w:pPr>
        <w:widowControl/>
        <w:spacing w:after="150" w:line="600" w:lineRule="exact"/>
        <w:ind w:firstLine="640" w:firstLineChars="200"/>
        <w:rPr>
          <w:rFonts w:hint="eastAsia" w:ascii="仿宋_GB2312" w:hAnsi="仿宋" w:eastAsia="仿宋_GB2312" w:cs="仿宋"/>
          <w:bCs/>
          <w:sz w:val="32"/>
          <w:szCs w:val="32"/>
          <w:highlight w:val="none"/>
        </w:rPr>
      </w:pPr>
      <w:r>
        <w:rPr>
          <w:rFonts w:hint="eastAsia" w:ascii="仿宋_GB2312" w:hAnsi="Tahoma" w:eastAsia="仿宋_GB2312" w:cs="Tahoma"/>
          <w:kern w:val="2"/>
          <w:sz w:val="32"/>
          <w:szCs w:val="32"/>
          <w:lang w:val="en-US" w:eastAsia="zh-CN" w:bidi="ar-SA"/>
        </w:rPr>
        <w:t>（二）参赛项目应弘扬正能量，践行社会主义核心价值观，真实、健康、合法。不得含有任何违反《中华人民共和国宪法》及其他法律法规的内容。所涉及</w:t>
      </w:r>
      <w:r>
        <w:rPr>
          <w:rFonts w:hint="eastAsia" w:ascii="仿宋_GB2312" w:hAnsi="仿宋" w:eastAsia="仿宋_GB2312" w:cs="仿宋"/>
          <w:bCs/>
          <w:sz w:val="32"/>
          <w:szCs w:val="32"/>
        </w:rPr>
        <w:t>的发明创造、专利技术、资源等必须拥有清晰合法的知识产权或物权。如有抄袭盗用他人成果、提供虚假材料等违反相关法律法规和违背大赛精神的行为，一经发现即</w:t>
      </w:r>
      <w:r>
        <w:rPr>
          <w:rFonts w:hint="eastAsia" w:ascii="仿宋_GB2312" w:hAnsi="仿宋" w:eastAsia="仿宋_GB2312" w:cs="仿宋"/>
          <w:bCs/>
          <w:sz w:val="32"/>
          <w:szCs w:val="32"/>
          <w:highlight w:val="none"/>
        </w:rPr>
        <w:t>刻</w:t>
      </w:r>
      <w:r>
        <w:rPr>
          <w:rFonts w:hint="eastAsia" w:ascii="仿宋_GB2312" w:hAnsi="仿宋" w:eastAsia="仿宋_GB2312" w:cs="仿宋"/>
          <w:bCs/>
          <w:sz w:val="32"/>
          <w:szCs w:val="32"/>
          <w:highlight w:val="none"/>
          <w:lang w:eastAsia="zh-CN"/>
        </w:rPr>
        <w:t>取消</w:t>
      </w:r>
      <w:r>
        <w:rPr>
          <w:rFonts w:hint="eastAsia" w:ascii="仿宋_GB2312" w:hAnsi="仿宋" w:eastAsia="仿宋_GB2312" w:cs="仿宋"/>
          <w:bCs/>
          <w:sz w:val="32"/>
          <w:szCs w:val="32"/>
          <w:highlight w:val="none"/>
        </w:rPr>
        <w:t>参赛资格、所获奖项等相关权利，并自负一切法律责任。</w:t>
      </w:r>
    </w:p>
    <w:p w14:paraId="3154A6BE">
      <w:pPr>
        <w:widowControl/>
        <w:spacing w:after="150" w:line="600" w:lineRule="exact"/>
        <w:ind w:firstLine="640" w:firstLineChars="200"/>
        <w:rPr>
          <w:rFonts w:hint="eastAsia" w:ascii="仿宋_GB2312" w:hAnsi="Tahoma" w:eastAsia="仿宋_GB2312" w:cs="Tahoma"/>
          <w:kern w:val="2"/>
          <w:sz w:val="32"/>
          <w:szCs w:val="32"/>
          <w:lang w:val="en-US" w:eastAsia="zh-CN" w:bidi="ar-SA"/>
        </w:rPr>
      </w:pPr>
      <w:r>
        <w:rPr>
          <w:rFonts w:hint="eastAsia" w:ascii="仿宋_GB2312" w:hAnsi="Tahoma" w:eastAsia="仿宋_GB2312" w:cs="Tahoma"/>
          <w:kern w:val="2"/>
          <w:sz w:val="32"/>
          <w:szCs w:val="32"/>
          <w:lang w:val="en-US" w:eastAsia="zh-CN" w:bidi="ar-SA"/>
        </w:rPr>
        <w:t>（三）参赛项目只能选择一个符合要求的赛道报名参赛，根据参赛团队负责人的学籍或学历确定参赛团队所代表的参赛学校，且代表的参赛学校具有唯一性。参赛团队须在报名系统中将项目所涉及的材料按时如实填写提交。</w:t>
      </w:r>
    </w:p>
    <w:p w14:paraId="178D8E35">
      <w:pPr>
        <w:widowControl/>
        <w:spacing w:after="150" w:line="600" w:lineRule="exact"/>
        <w:ind w:firstLine="640" w:firstLineChars="200"/>
        <w:rPr>
          <w:rFonts w:hint="eastAsia" w:ascii="仿宋_GB2312" w:hAnsi="Tahoma" w:eastAsia="仿宋_GB2312" w:cs="Tahoma"/>
          <w:kern w:val="2"/>
          <w:sz w:val="32"/>
          <w:szCs w:val="32"/>
          <w:lang w:val="en-US" w:eastAsia="zh-CN" w:bidi="ar-SA"/>
        </w:rPr>
      </w:pPr>
      <w:r>
        <w:rPr>
          <w:rFonts w:hint="eastAsia" w:ascii="仿宋_GB2312" w:hAnsi="Tahoma" w:eastAsia="仿宋_GB2312" w:cs="Tahoma"/>
          <w:kern w:val="2"/>
          <w:sz w:val="32"/>
          <w:szCs w:val="32"/>
          <w:lang w:val="en-US" w:eastAsia="zh-CN" w:bidi="ar-SA"/>
        </w:rPr>
        <w:t>（四）参赛人员（不含产业命题赛道参赛项目成员中的教师）年龄不超过35岁（1991年3月1日及以后出生）。</w:t>
      </w:r>
    </w:p>
    <w:p w14:paraId="2C955029">
      <w:pPr>
        <w:widowControl/>
        <w:spacing w:after="150" w:line="600" w:lineRule="exact"/>
        <w:ind w:firstLine="640" w:firstLineChars="200"/>
        <w:rPr>
          <w:rFonts w:hint="eastAsia" w:ascii="仿宋_GB2312" w:hAnsi="Tahoma" w:eastAsia="仿宋_GB2312" w:cs="Tahoma"/>
          <w:kern w:val="2"/>
          <w:sz w:val="32"/>
          <w:szCs w:val="32"/>
          <w:lang w:val="en-US" w:eastAsia="zh-CN" w:bidi="ar-SA"/>
        </w:rPr>
      </w:pPr>
      <w:r>
        <w:rPr>
          <w:rFonts w:hint="eastAsia" w:ascii="仿宋_GB2312" w:hAnsi="Tahoma" w:eastAsia="仿宋_GB2312" w:cs="Tahoma"/>
          <w:kern w:val="2"/>
          <w:sz w:val="32"/>
          <w:szCs w:val="32"/>
          <w:lang w:val="en-US" w:eastAsia="zh-CN" w:bidi="ar-SA"/>
        </w:rPr>
        <w:t>（五）各系要严格开展参赛项目审查工作，确保参赛项目的合规性和真实性。审查主要包括参赛资格以及项目所涉及的科技成果、知识产权、财务状况、运营、荣誉奖项等方面。</w:t>
      </w:r>
    </w:p>
    <w:p w14:paraId="7731049D">
      <w:pPr>
        <w:widowControl/>
        <w:spacing w:after="150" w:line="600" w:lineRule="exact"/>
        <w:ind w:firstLine="640" w:firstLineChars="200"/>
        <w:rPr>
          <w:rFonts w:ascii="仿宋_GB2312" w:hAnsi="Helvetica" w:eastAsia="仿宋_GB2312" w:cs="Helvetica"/>
          <w:color w:val="262626"/>
          <w:sz w:val="32"/>
          <w:szCs w:val="32"/>
          <w:highlight w:val="none"/>
        </w:rPr>
      </w:pPr>
      <w:r>
        <w:rPr>
          <w:rFonts w:hint="eastAsia" w:ascii="仿宋_GB2312" w:hAnsi="仿宋" w:eastAsia="仿宋_GB2312" w:cs="仿宋"/>
          <w:bCs/>
          <w:sz w:val="32"/>
          <w:szCs w:val="32"/>
          <w:highlight w:val="none"/>
        </w:rPr>
        <w:t>（六）项目已获得往届</w:t>
      </w:r>
      <w:r>
        <w:rPr>
          <w:rFonts w:hint="eastAsia" w:ascii="仿宋_GB2312" w:hAnsi="仿宋" w:eastAsia="仿宋_GB2312" w:cs="仿宋"/>
          <w:bCs/>
          <w:sz w:val="32"/>
          <w:szCs w:val="32"/>
          <w:highlight w:val="none"/>
          <w:lang w:eastAsia="zh-CN"/>
        </w:rPr>
        <w:t>中国国际大学生</w:t>
      </w:r>
      <w:r>
        <w:rPr>
          <w:rFonts w:hint="eastAsia" w:ascii="仿宋_GB2312" w:hAnsi="仿宋" w:eastAsia="仿宋_GB2312" w:cs="仿宋"/>
          <w:bCs/>
          <w:sz w:val="32"/>
          <w:szCs w:val="32"/>
          <w:highlight w:val="none"/>
        </w:rPr>
        <w:t>创新</w:t>
      </w:r>
      <w:r>
        <w:rPr>
          <w:rFonts w:hint="eastAsia" w:ascii="仿宋_GB2312" w:hAnsi="仿宋" w:eastAsia="仿宋_GB2312" w:cs="仿宋"/>
          <w:bCs/>
          <w:sz w:val="32"/>
          <w:szCs w:val="32"/>
          <w:highlight w:val="none"/>
          <w:lang w:eastAsia="zh-CN"/>
        </w:rPr>
        <w:t>大</w:t>
      </w:r>
      <w:r>
        <w:rPr>
          <w:rFonts w:hint="eastAsia" w:ascii="仿宋_GB2312" w:hAnsi="仿宋" w:eastAsia="仿宋_GB2312" w:cs="仿宋"/>
          <w:bCs/>
          <w:sz w:val="32"/>
          <w:szCs w:val="32"/>
          <w:highlight w:val="none"/>
        </w:rPr>
        <w:t>赛省级以上奖项的</w:t>
      </w:r>
      <w:r>
        <w:rPr>
          <w:rFonts w:hint="eastAsia" w:ascii="仿宋_GB2312" w:hAnsi="仿宋" w:eastAsia="仿宋_GB2312" w:cs="仿宋"/>
          <w:bCs/>
          <w:sz w:val="32"/>
          <w:szCs w:val="32"/>
          <w:highlight w:val="none"/>
          <w:lang w:eastAsia="zh-CN"/>
        </w:rPr>
        <w:t>项目和</w:t>
      </w:r>
      <w:r>
        <w:rPr>
          <w:rFonts w:hint="eastAsia" w:ascii="仿宋_GB2312" w:hAnsi="仿宋" w:eastAsia="仿宋_GB2312" w:cs="仿宋"/>
          <w:bCs/>
          <w:sz w:val="32"/>
          <w:szCs w:val="32"/>
          <w:highlight w:val="none"/>
          <w:lang w:val="en-US" w:eastAsia="zh-CN"/>
        </w:rPr>
        <w:t>2025级本科新生的项目</w:t>
      </w:r>
      <w:r>
        <w:rPr>
          <w:rFonts w:hint="eastAsia" w:ascii="仿宋_GB2312" w:hAnsi="仿宋" w:eastAsia="仿宋_GB2312" w:cs="仿宋"/>
          <w:bCs/>
          <w:sz w:val="32"/>
          <w:szCs w:val="32"/>
          <w:highlight w:val="none"/>
          <w:lang w:eastAsia="zh-CN"/>
        </w:rPr>
        <w:t>（专升本除外）</w:t>
      </w:r>
      <w:r>
        <w:rPr>
          <w:rFonts w:hint="eastAsia" w:ascii="仿宋_GB2312" w:hAnsi="仿宋" w:eastAsia="仿宋_GB2312" w:cs="仿宋"/>
          <w:bCs/>
          <w:sz w:val="32"/>
          <w:szCs w:val="32"/>
          <w:highlight w:val="none"/>
        </w:rPr>
        <w:t>不再参与本次</w:t>
      </w:r>
      <w:r>
        <w:rPr>
          <w:rFonts w:hint="eastAsia" w:ascii="仿宋_GB2312" w:hAnsi="仿宋" w:eastAsia="仿宋_GB2312" w:cs="仿宋"/>
          <w:bCs/>
          <w:sz w:val="32"/>
          <w:szCs w:val="32"/>
          <w:highlight w:val="none"/>
          <w:lang w:eastAsia="zh-CN"/>
        </w:rPr>
        <w:t>院</w:t>
      </w:r>
      <w:r>
        <w:rPr>
          <w:rFonts w:hint="eastAsia" w:ascii="仿宋_GB2312" w:hAnsi="仿宋" w:eastAsia="仿宋_GB2312" w:cs="仿宋"/>
          <w:bCs/>
          <w:sz w:val="32"/>
          <w:szCs w:val="32"/>
          <w:highlight w:val="none"/>
        </w:rPr>
        <w:t>赛</w:t>
      </w:r>
      <w:r>
        <w:rPr>
          <w:rFonts w:hint="eastAsia" w:ascii="仿宋_GB2312" w:hAnsi="仿宋" w:eastAsia="仿宋_GB2312" w:cs="仿宋"/>
          <w:bCs/>
          <w:sz w:val="32"/>
          <w:szCs w:val="32"/>
          <w:highlight w:val="none"/>
          <w:lang w:eastAsia="zh-CN"/>
        </w:rPr>
        <w:t>（</w:t>
      </w:r>
      <w:r>
        <w:rPr>
          <w:rFonts w:hint="eastAsia" w:ascii="仿宋_GB2312" w:hAnsi="仿宋" w:eastAsia="仿宋_GB2312" w:cs="仿宋"/>
          <w:bCs/>
          <w:sz w:val="32"/>
          <w:szCs w:val="32"/>
          <w:highlight w:val="none"/>
        </w:rPr>
        <w:t>往届</w:t>
      </w:r>
      <w:r>
        <w:rPr>
          <w:rFonts w:hint="eastAsia" w:ascii="仿宋_GB2312" w:hAnsi="仿宋" w:eastAsia="仿宋_GB2312" w:cs="仿宋"/>
          <w:bCs/>
          <w:sz w:val="32"/>
          <w:szCs w:val="32"/>
          <w:highlight w:val="none"/>
          <w:lang w:eastAsia="zh-CN"/>
        </w:rPr>
        <w:t>中国国际大学生</w:t>
      </w:r>
      <w:r>
        <w:rPr>
          <w:rFonts w:hint="eastAsia" w:ascii="仿宋_GB2312" w:hAnsi="仿宋" w:eastAsia="仿宋_GB2312" w:cs="仿宋"/>
          <w:bCs/>
          <w:sz w:val="32"/>
          <w:szCs w:val="32"/>
          <w:highlight w:val="none"/>
        </w:rPr>
        <w:t>创新</w:t>
      </w:r>
      <w:r>
        <w:rPr>
          <w:rFonts w:hint="eastAsia" w:ascii="仿宋_GB2312" w:hAnsi="仿宋" w:eastAsia="仿宋_GB2312" w:cs="仿宋"/>
          <w:bCs/>
          <w:sz w:val="32"/>
          <w:szCs w:val="32"/>
          <w:highlight w:val="none"/>
          <w:lang w:eastAsia="zh-CN"/>
        </w:rPr>
        <w:t>大</w:t>
      </w:r>
      <w:r>
        <w:rPr>
          <w:rFonts w:hint="eastAsia" w:ascii="仿宋_GB2312" w:hAnsi="仿宋" w:eastAsia="仿宋_GB2312" w:cs="仿宋"/>
          <w:bCs/>
          <w:sz w:val="32"/>
          <w:szCs w:val="32"/>
          <w:highlight w:val="none"/>
        </w:rPr>
        <w:t>赛</w:t>
      </w:r>
      <w:r>
        <w:rPr>
          <w:rFonts w:hint="eastAsia" w:ascii="仿宋_GB2312" w:hAnsi="仿宋" w:eastAsia="仿宋_GB2312" w:cs="仿宋"/>
          <w:bCs/>
          <w:sz w:val="32"/>
          <w:szCs w:val="32"/>
          <w:highlight w:val="none"/>
          <w:lang w:eastAsia="zh-CN"/>
        </w:rPr>
        <w:t>获省级以上奖项的项目参加学院创业精英挑战赛，</w:t>
      </w:r>
      <w:r>
        <w:rPr>
          <w:rFonts w:hint="eastAsia" w:ascii="仿宋_GB2312" w:hAnsi="仿宋" w:eastAsia="仿宋_GB2312" w:cs="仿宋"/>
          <w:bCs/>
          <w:sz w:val="32"/>
          <w:szCs w:val="32"/>
          <w:highlight w:val="none"/>
          <w:lang w:val="en-US" w:eastAsia="zh-CN"/>
        </w:rPr>
        <w:t>2025级本科新生的项目参加学院创新创业雏鹰赛</w:t>
      </w:r>
      <w:r>
        <w:rPr>
          <w:rFonts w:hint="eastAsia" w:ascii="仿宋_GB2312" w:hAnsi="仿宋" w:eastAsia="仿宋_GB2312" w:cs="仿宋"/>
          <w:bCs/>
          <w:sz w:val="32"/>
          <w:szCs w:val="32"/>
          <w:highlight w:val="none"/>
          <w:lang w:eastAsia="zh-CN"/>
        </w:rPr>
        <w:t>）。</w:t>
      </w:r>
    </w:p>
    <w:p w14:paraId="2E8B056E">
      <w:pPr>
        <w:pStyle w:val="6"/>
        <w:keepNext w:val="0"/>
        <w:keepLines w:val="0"/>
        <w:pageBreakBefore w:val="0"/>
        <w:widowControl/>
        <w:kinsoku/>
        <w:wordWrap/>
        <w:overflowPunct/>
        <w:topLinePunct w:val="0"/>
        <w:autoSpaceDE/>
        <w:autoSpaceDN/>
        <w:bidi w:val="0"/>
        <w:spacing w:beforeAutospacing="0" w:afterAutospacing="0" w:line="600" w:lineRule="exact"/>
        <w:ind w:firstLine="640" w:firstLineChars="200"/>
        <w:jc w:val="both"/>
        <w:rPr>
          <w:rFonts w:hint="eastAsia" w:ascii="黑体" w:hAnsi="黑体" w:eastAsia="黑体" w:cs="黑体"/>
          <w:bCs/>
          <w:color w:val="000000"/>
          <w:sz w:val="32"/>
          <w:szCs w:val="21"/>
        </w:rPr>
      </w:pPr>
      <w:r>
        <w:rPr>
          <w:rFonts w:hint="eastAsia" w:ascii="黑体" w:hAnsi="黑体" w:eastAsia="黑体" w:cs="黑体"/>
          <w:kern w:val="2"/>
          <w:sz w:val="32"/>
          <w:szCs w:val="32"/>
        </w:rPr>
        <w:t>六、参赛组别和对象</w:t>
      </w:r>
    </w:p>
    <w:p w14:paraId="265C1352">
      <w:pPr>
        <w:widowControl/>
        <w:spacing w:after="150" w:line="600" w:lineRule="exact"/>
        <w:ind w:firstLine="640" w:firstLineChars="200"/>
        <w:rPr>
          <w:rFonts w:hint="eastAsia" w:ascii="仿宋_GB2312" w:hAnsi="仿宋" w:eastAsia="仿宋_GB2312" w:cs="仿宋"/>
          <w:bCs/>
          <w:sz w:val="32"/>
          <w:szCs w:val="32"/>
        </w:rPr>
      </w:pPr>
      <w:r>
        <w:rPr>
          <w:rFonts w:hint="eastAsia" w:ascii="仿宋_GB2312" w:hAnsi="仿宋" w:eastAsia="仿宋_GB2312" w:cs="仿宋"/>
          <w:bCs/>
          <w:sz w:val="32"/>
          <w:szCs w:val="32"/>
        </w:rPr>
        <w:t>（一）主赛道根据参赛项目所处的创业阶段、已获投资情况和项目特点，分为创意组</w:t>
      </w:r>
      <w:r>
        <w:rPr>
          <w:rFonts w:hint="eastAsia" w:ascii="仿宋_GB2312" w:hAnsi="仿宋" w:eastAsia="仿宋_GB2312" w:cs="仿宋"/>
          <w:bCs/>
          <w:sz w:val="32"/>
          <w:szCs w:val="32"/>
          <w:highlight w:val="none"/>
        </w:rPr>
        <w:t>、创业组。</w:t>
      </w:r>
      <w:r>
        <w:rPr>
          <w:rFonts w:hint="eastAsia" w:ascii="仿宋_GB2312" w:hAnsi="仿宋" w:eastAsia="仿宋_GB2312" w:cs="仿宋"/>
          <w:bCs/>
          <w:sz w:val="32"/>
          <w:szCs w:val="32"/>
        </w:rPr>
        <w:t>具体参赛条件如下：</w:t>
      </w:r>
    </w:p>
    <w:p w14:paraId="355DF9C5">
      <w:pPr>
        <w:widowControl/>
        <w:spacing w:after="150" w:line="600" w:lineRule="exact"/>
        <w:ind w:firstLine="640" w:firstLineChars="200"/>
        <w:rPr>
          <w:rFonts w:hint="eastAsia" w:ascii="楷体_GB2312" w:hAnsi="楷体_GB2312" w:eastAsia="楷体_GB2312" w:cs="楷体_GB2312"/>
          <w:bCs/>
          <w:sz w:val="32"/>
          <w:szCs w:val="32"/>
        </w:rPr>
      </w:pPr>
      <w:r>
        <w:rPr>
          <w:rFonts w:hint="eastAsia" w:ascii="楷体_GB2312" w:hAnsi="楷体_GB2312" w:eastAsia="楷体_GB2312" w:cs="楷体_GB2312"/>
          <w:bCs/>
          <w:sz w:val="32"/>
          <w:szCs w:val="32"/>
        </w:rPr>
        <w:t>1.创意组</w:t>
      </w:r>
    </w:p>
    <w:p w14:paraId="7143D141">
      <w:pPr>
        <w:widowControl/>
        <w:spacing w:after="150" w:line="600" w:lineRule="exact"/>
        <w:ind w:firstLine="640" w:firstLineChars="200"/>
        <w:rPr>
          <w:rFonts w:hint="eastAsia" w:ascii="仿宋_GB2312" w:hAnsi="仿宋" w:eastAsia="仿宋_GB2312" w:cs="仿宋"/>
          <w:bCs/>
          <w:sz w:val="32"/>
          <w:szCs w:val="32"/>
        </w:rPr>
      </w:pPr>
      <w:r>
        <w:rPr>
          <w:rFonts w:hint="eastAsia" w:ascii="仿宋_GB2312" w:hAnsi="仿宋" w:eastAsia="仿宋_GB2312" w:cs="仿宋"/>
          <w:bCs/>
          <w:sz w:val="32"/>
          <w:szCs w:val="32"/>
        </w:rPr>
        <w:t>（1）参赛项目具有较好的创意和较为成型的产品原型或服务模式，在大赛通知下发之日前尚未完成工商等各类登记注册。</w:t>
      </w:r>
    </w:p>
    <w:p w14:paraId="51BFB0E2">
      <w:pPr>
        <w:widowControl/>
        <w:spacing w:after="150" w:line="600" w:lineRule="exact"/>
        <w:ind w:firstLine="640" w:firstLineChars="200"/>
        <w:rPr>
          <w:rFonts w:hint="eastAsia" w:ascii="仿宋_GB2312" w:hAnsi="仿宋" w:eastAsia="仿宋_GB2312" w:cs="仿宋"/>
          <w:bCs/>
          <w:sz w:val="32"/>
          <w:szCs w:val="32"/>
        </w:rPr>
      </w:pPr>
      <w:r>
        <w:rPr>
          <w:rFonts w:hint="eastAsia" w:ascii="仿宋_GB2312" w:hAnsi="仿宋" w:eastAsia="仿宋_GB2312" w:cs="仿宋"/>
          <w:bCs/>
          <w:sz w:val="32"/>
          <w:szCs w:val="32"/>
        </w:rPr>
        <w:t>（2）参赛申报人须为项目负责人，项目负责人及成员均须为普通高等学校全日制在校本专科生（不含在职教育）。</w:t>
      </w:r>
    </w:p>
    <w:p w14:paraId="41F1BB1F">
      <w:pPr>
        <w:widowControl/>
        <w:spacing w:after="150" w:line="600" w:lineRule="exact"/>
        <w:ind w:firstLine="640" w:firstLineChars="200"/>
        <w:rPr>
          <w:rFonts w:hint="eastAsia" w:ascii="仿宋_GB2312" w:hAnsi="仿宋" w:eastAsia="仿宋_GB2312" w:cs="仿宋"/>
          <w:bCs/>
          <w:sz w:val="32"/>
          <w:szCs w:val="32"/>
        </w:rPr>
      </w:pPr>
      <w:r>
        <w:rPr>
          <w:rFonts w:hint="eastAsia" w:ascii="仿宋_GB2312" w:hAnsi="仿宋" w:eastAsia="仿宋_GB2312" w:cs="仿宋"/>
          <w:bCs/>
          <w:sz w:val="32"/>
          <w:szCs w:val="32"/>
        </w:rPr>
        <w:t>（3）学校科技成果转化项目不能参加本组比赛（科技成果的完成人、所有人中参赛申报人排名第一的除外）。</w:t>
      </w:r>
    </w:p>
    <w:p w14:paraId="2D82A2E8">
      <w:pPr>
        <w:widowControl/>
        <w:spacing w:after="150" w:line="600" w:lineRule="exact"/>
        <w:ind w:firstLine="640" w:firstLineChars="200"/>
        <w:rPr>
          <w:rFonts w:hint="eastAsia" w:ascii="楷体_GB2312" w:hAnsi="楷体_GB2312" w:eastAsia="楷体_GB2312" w:cs="楷体_GB2312"/>
          <w:bCs/>
          <w:sz w:val="32"/>
          <w:szCs w:val="32"/>
          <w:highlight w:val="none"/>
        </w:rPr>
      </w:pPr>
      <w:r>
        <w:rPr>
          <w:rFonts w:hint="eastAsia" w:ascii="楷体_GB2312" w:hAnsi="楷体_GB2312" w:eastAsia="楷体_GB2312" w:cs="楷体_GB2312"/>
          <w:bCs/>
          <w:sz w:val="32"/>
          <w:szCs w:val="32"/>
          <w:highlight w:val="none"/>
        </w:rPr>
        <w:t>2.</w:t>
      </w:r>
      <w:r>
        <w:rPr>
          <w:rFonts w:hint="eastAsia" w:ascii="楷体_GB2312" w:hAnsi="楷体_GB2312" w:eastAsia="楷体_GB2312" w:cs="楷体_GB2312"/>
          <w:sz w:val="32"/>
          <w:szCs w:val="32"/>
          <w:highlight w:val="none"/>
        </w:rPr>
        <w:t xml:space="preserve"> </w:t>
      </w:r>
      <w:r>
        <w:rPr>
          <w:rFonts w:hint="eastAsia" w:ascii="楷体_GB2312" w:hAnsi="楷体_GB2312" w:eastAsia="楷体_GB2312" w:cs="楷体_GB2312"/>
          <w:bCs/>
          <w:sz w:val="32"/>
          <w:szCs w:val="32"/>
          <w:highlight w:val="none"/>
        </w:rPr>
        <w:t>创业组</w:t>
      </w:r>
    </w:p>
    <w:p w14:paraId="07B06983">
      <w:pPr>
        <w:widowControl/>
        <w:spacing w:after="150" w:line="600" w:lineRule="exact"/>
        <w:ind w:firstLine="640" w:firstLineChars="200"/>
        <w:rPr>
          <w:rFonts w:hint="eastAsia" w:ascii="仿宋_GB2312" w:hAnsi="仿宋" w:eastAsia="仿宋_GB2312" w:cs="仿宋"/>
          <w:bCs/>
          <w:sz w:val="32"/>
          <w:szCs w:val="32"/>
        </w:rPr>
      </w:pPr>
      <w:r>
        <w:rPr>
          <w:rFonts w:hint="eastAsia" w:ascii="仿宋_GB2312" w:hAnsi="仿宋" w:eastAsia="仿宋_GB2312" w:cs="仿宋"/>
          <w:bCs/>
          <w:sz w:val="32"/>
          <w:szCs w:val="32"/>
        </w:rPr>
        <w:t>（1）参赛项目须已完成工商等各类登记注册（在大赛通知下发之日前注册）。</w:t>
      </w:r>
    </w:p>
    <w:p w14:paraId="15CC8828">
      <w:pPr>
        <w:widowControl/>
        <w:spacing w:after="150" w:line="600" w:lineRule="exact"/>
        <w:ind w:firstLine="640" w:firstLineChars="200"/>
        <w:rPr>
          <w:rFonts w:hint="eastAsia" w:ascii="仿宋_GB2312" w:hAnsi="仿宋" w:eastAsia="仿宋_GB2312" w:cs="仿宋"/>
          <w:bCs/>
          <w:color w:val="000000" w:themeColor="text1"/>
          <w:sz w:val="32"/>
          <w:szCs w:val="32"/>
          <w:highlight w:val="none"/>
          <w14:textFill>
            <w14:solidFill>
              <w14:schemeClr w14:val="tx1"/>
            </w14:solidFill>
          </w14:textFill>
        </w:rPr>
      </w:pPr>
      <w:r>
        <w:rPr>
          <w:rFonts w:hint="eastAsia" w:ascii="仿宋_GB2312" w:hAnsi="仿宋" w:eastAsia="仿宋_GB2312" w:cs="仿宋"/>
          <w:bCs/>
          <w:color w:val="000000" w:themeColor="text1"/>
          <w:sz w:val="32"/>
          <w:szCs w:val="32"/>
          <w14:textFill>
            <w14:solidFill>
              <w14:schemeClr w14:val="tx1"/>
            </w14:solidFill>
          </w14:textFill>
        </w:rPr>
        <w:t>（2）参赛申报人须为项目负责人且为参赛企业法定代表人，须为普通高等学校全日制在校</w:t>
      </w:r>
      <w:r>
        <w:rPr>
          <w:rFonts w:hint="eastAsia" w:ascii="仿宋_GB2312" w:hAnsi="仿宋" w:eastAsia="仿宋_GB2312" w:cs="仿宋"/>
          <w:bCs/>
          <w:color w:val="000000" w:themeColor="text1"/>
          <w:sz w:val="32"/>
          <w:szCs w:val="32"/>
          <w:lang w:eastAsia="zh-CN"/>
          <w14:textFill>
            <w14:solidFill>
              <w14:schemeClr w14:val="tx1"/>
            </w14:solidFill>
          </w14:textFill>
        </w:rPr>
        <w:t>学</w:t>
      </w:r>
      <w:r>
        <w:rPr>
          <w:rFonts w:hint="eastAsia" w:ascii="仿宋_GB2312" w:hAnsi="仿宋" w:eastAsia="仿宋_GB2312" w:cs="仿宋"/>
          <w:bCs/>
          <w:color w:val="000000" w:themeColor="text1"/>
          <w:sz w:val="32"/>
          <w:szCs w:val="32"/>
          <w14:textFill>
            <w14:solidFill>
              <w14:schemeClr w14:val="tx1"/>
            </w14:solidFill>
          </w14:textFill>
        </w:rPr>
        <w:t>生，或毕业5年以内的全日制</w:t>
      </w:r>
      <w:r>
        <w:rPr>
          <w:rFonts w:hint="eastAsia" w:ascii="仿宋_GB2312" w:hAnsi="仿宋" w:eastAsia="仿宋_GB2312" w:cs="仿宋"/>
          <w:bCs/>
          <w:color w:val="000000" w:themeColor="text1"/>
          <w:sz w:val="32"/>
          <w:szCs w:val="32"/>
          <w:lang w:eastAsia="zh-CN"/>
          <w14:textFill>
            <w14:solidFill>
              <w14:schemeClr w14:val="tx1"/>
            </w14:solidFill>
          </w14:textFill>
        </w:rPr>
        <w:t>本专科</w:t>
      </w:r>
      <w:r>
        <w:rPr>
          <w:rFonts w:hint="eastAsia" w:ascii="仿宋_GB2312" w:hAnsi="仿宋" w:eastAsia="仿宋_GB2312" w:cs="仿宋"/>
          <w:bCs/>
          <w:color w:val="000000" w:themeColor="text1"/>
          <w:sz w:val="32"/>
          <w:szCs w:val="32"/>
          <w14:textFill>
            <w14:solidFill>
              <w14:schemeClr w14:val="tx1"/>
            </w14:solidFill>
          </w14:textFill>
        </w:rPr>
        <w:t>生（</w:t>
      </w:r>
      <w:r>
        <w:rPr>
          <w:rFonts w:hint="eastAsia" w:ascii="仿宋_GB2312" w:hAnsi="仿宋" w:eastAsia="仿宋_GB2312" w:cs="仿宋"/>
          <w:bCs/>
          <w:color w:val="000000" w:themeColor="text1"/>
          <w:sz w:val="32"/>
          <w:szCs w:val="32"/>
          <w:highlight w:val="none"/>
          <w14:textFill>
            <w14:solidFill>
              <w14:schemeClr w14:val="tx1"/>
            </w14:solidFill>
          </w14:textFill>
        </w:rPr>
        <w:t>即202</w:t>
      </w:r>
      <w:r>
        <w:rPr>
          <w:rFonts w:hint="eastAsia" w:ascii="仿宋_GB2312" w:hAnsi="仿宋" w:eastAsia="仿宋_GB2312" w:cs="仿宋"/>
          <w:bCs/>
          <w:color w:val="000000" w:themeColor="text1"/>
          <w:sz w:val="32"/>
          <w:szCs w:val="32"/>
          <w:highlight w:val="none"/>
          <w:lang w:val="en-US" w:eastAsia="zh-CN"/>
          <w14:textFill>
            <w14:solidFill>
              <w14:schemeClr w14:val="tx1"/>
            </w14:solidFill>
          </w14:textFill>
        </w:rPr>
        <w:t>1</w:t>
      </w:r>
      <w:r>
        <w:rPr>
          <w:rFonts w:hint="eastAsia" w:ascii="仿宋_GB2312" w:hAnsi="仿宋" w:eastAsia="仿宋_GB2312" w:cs="仿宋"/>
          <w:bCs/>
          <w:color w:val="000000" w:themeColor="text1"/>
          <w:sz w:val="32"/>
          <w:szCs w:val="32"/>
          <w:highlight w:val="none"/>
          <w14:textFill>
            <w14:solidFill>
              <w14:schemeClr w14:val="tx1"/>
            </w14:solidFill>
          </w14:textFill>
        </w:rPr>
        <w:t>年之后的毕业生）。企业法定代表人在大赛通知发布之日后进行变更的不予认可。</w:t>
      </w:r>
    </w:p>
    <w:p w14:paraId="1E6A2D16">
      <w:pPr>
        <w:widowControl/>
        <w:spacing w:after="150" w:line="600" w:lineRule="exact"/>
        <w:ind w:firstLine="640" w:firstLineChars="200"/>
        <w:rPr>
          <w:rFonts w:hint="eastAsia" w:ascii="仿宋_GB2312" w:hAnsi="仿宋" w:eastAsia="仿宋_GB2312" w:cs="仿宋"/>
          <w:bCs/>
          <w:sz w:val="32"/>
          <w:szCs w:val="32"/>
          <w:highlight w:val="none"/>
        </w:rPr>
      </w:pPr>
      <w:r>
        <w:rPr>
          <w:rFonts w:hint="eastAsia" w:ascii="仿宋_GB2312" w:hAnsi="仿宋" w:eastAsia="仿宋_GB2312" w:cs="仿宋"/>
          <w:bCs/>
          <w:sz w:val="32"/>
          <w:szCs w:val="32"/>
          <w:highlight w:val="none"/>
        </w:rPr>
        <w:t>（3）项目的股权结构中，企业法定代表人的股权不得少于10%，参赛团队成员股权合计不得少于1/3。</w:t>
      </w:r>
    </w:p>
    <w:p w14:paraId="08D0A737">
      <w:pPr>
        <w:widowControl/>
        <w:spacing w:after="150" w:line="600" w:lineRule="exact"/>
        <w:ind w:firstLine="640" w:firstLineChars="200"/>
        <w:rPr>
          <w:rFonts w:hint="eastAsia" w:ascii="仿宋_GB2312" w:hAnsi="仿宋" w:eastAsia="仿宋_GB2312" w:cs="仿宋"/>
          <w:bCs/>
          <w:sz w:val="32"/>
          <w:szCs w:val="32"/>
        </w:rPr>
      </w:pPr>
      <w:r>
        <w:rPr>
          <w:rFonts w:hint="eastAsia" w:ascii="仿宋_GB2312" w:hAnsi="仿宋" w:eastAsia="仿宋_GB2312" w:cs="仿宋"/>
          <w:bCs/>
          <w:sz w:val="32"/>
          <w:szCs w:val="32"/>
          <w:highlight w:val="none"/>
        </w:rPr>
        <w:t>（二）参加“青年红色筑梦之旅”赛道的项目，须为参加“青年红色筑梦之旅”活动的项目。否则一经发现，取消参赛资格。各系制定202</w:t>
      </w:r>
      <w:r>
        <w:rPr>
          <w:rFonts w:hint="eastAsia" w:ascii="仿宋_GB2312" w:hAnsi="仿宋" w:eastAsia="仿宋_GB2312" w:cs="仿宋"/>
          <w:bCs/>
          <w:sz w:val="32"/>
          <w:szCs w:val="32"/>
          <w:highlight w:val="none"/>
          <w:lang w:val="en-US" w:eastAsia="zh-CN"/>
        </w:rPr>
        <w:t>6</w:t>
      </w:r>
      <w:r>
        <w:rPr>
          <w:rFonts w:hint="eastAsia" w:ascii="仿宋_GB2312" w:hAnsi="仿宋" w:eastAsia="仿宋_GB2312" w:cs="仿宋"/>
          <w:bCs/>
          <w:sz w:val="32"/>
          <w:szCs w:val="32"/>
          <w:highlight w:val="none"/>
        </w:rPr>
        <w:t>年“青</w:t>
      </w:r>
      <w:r>
        <w:rPr>
          <w:rFonts w:hint="eastAsia" w:ascii="仿宋_GB2312" w:hAnsi="仿宋" w:eastAsia="仿宋_GB2312" w:cs="仿宋"/>
          <w:bCs/>
          <w:sz w:val="32"/>
          <w:szCs w:val="32"/>
        </w:rPr>
        <w:t>年红色筑梦之旅”活动方案，主动联系地方政府农业、扶贫、环保等有关部门，扎实做好乡村振兴、社区治理等方面的需求调研。跟踪调研往年“青年红色筑梦之旅”活动项目进展情况。参加“青年红色筑梦之旅”赛项目要在农业农村、革命老区、贫困地区、城乡社区经济社会发展等方面有创新性、实效性和可持续性。根据项目性质和特点，分为公益组、创意组、创业组。</w:t>
      </w:r>
    </w:p>
    <w:p w14:paraId="47AB9E2E">
      <w:pPr>
        <w:widowControl/>
        <w:spacing w:after="150" w:line="600" w:lineRule="exact"/>
        <w:ind w:firstLine="640" w:firstLineChars="200"/>
        <w:rPr>
          <w:rFonts w:hint="eastAsia" w:ascii="楷体_GB2312" w:hAnsi="楷体_GB2312" w:eastAsia="楷体_GB2312" w:cs="楷体_GB2312"/>
          <w:bCs/>
          <w:sz w:val="32"/>
          <w:szCs w:val="32"/>
        </w:rPr>
      </w:pPr>
      <w:r>
        <w:rPr>
          <w:rFonts w:hint="eastAsia" w:ascii="楷体_GB2312" w:hAnsi="楷体_GB2312" w:eastAsia="楷体_GB2312" w:cs="楷体_GB2312"/>
          <w:bCs/>
          <w:sz w:val="32"/>
          <w:szCs w:val="32"/>
        </w:rPr>
        <w:t>1.公益组</w:t>
      </w:r>
    </w:p>
    <w:p w14:paraId="1DE02334">
      <w:pPr>
        <w:widowControl/>
        <w:spacing w:after="150" w:line="600" w:lineRule="exact"/>
        <w:ind w:firstLine="640" w:firstLineChars="200"/>
        <w:rPr>
          <w:rFonts w:hint="eastAsia" w:ascii="仿宋_GB2312" w:hAnsi="仿宋" w:eastAsia="仿宋_GB2312" w:cs="仿宋"/>
          <w:bCs/>
          <w:sz w:val="32"/>
          <w:szCs w:val="32"/>
        </w:rPr>
      </w:pPr>
      <w:r>
        <w:rPr>
          <w:rFonts w:hint="eastAsia" w:ascii="仿宋_GB2312" w:hAnsi="仿宋" w:eastAsia="仿宋_GB2312" w:cs="仿宋"/>
          <w:bCs/>
          <w:sz w:val="32"/>
          <w:szCs w:val="32"/>
        </w:rPr>
        <w:t>（1）参赛项目不以营利为目标，积极弘扬公益精神，在公益服务领域具有较好的创意、产品或服务模式的创业计划和实践。</w:t>
      </w:r>
    </w:p>
    <w:p w14:paraId="3AB34939">
      <w:pPr>
        <w:widowControl/>
        <w:spacing w:after="150" w:line="600" w:lineRule="exact"/>
        <w:ind w:firstLine="640" w:firstLineChars="200"/>
        <w:rPr>
          <w:rFonts w:hint="eastAsia" w:ascii="仿宋_GB2312" w:hAnsi="仿宋" w:eastAsia="仿宋_GB2312" w:cs="仿宋"/>
          <w:bCs/>
          <w:sz w:val="32"/>
          <w:szCs w:val="32"/>
        </w:rPr>
      </w:pPr>
      <w:r>
        <w:rPr>
          <w:rFonts w:hint="eastAsia" w:ascii="仿宋_GB2312" w:hAnsi="仿宋" w:eastAsia="仿宋_GB2312" w:cs="仿宋"/>
          <w:bCs/>
          <w:sz w:val="32"/>
          <w:szCs w:val="32"/>
        </w:rPr>
        <w:t>（2）参赛申报主体为独立的公益项目或社会组织，注册或未注册成立公益机构（或社会组织）的项目均可参赛。</w:t>
      </w:r>
    </w:p>
    <w:p w14:paraId="0B0CE68D">
      <w:pPr>
        <w:widowControl/>
        <w:spacing w:after="150" w:line="600" w:lineRule="exact"/>
        <w:ind w:firstLine="640" w:firstLineChars="200"/>
        <w:rPr>
          <w:rFonts w:hint="eastAsia" w:ascii="仿宋_GB2312" w:hAnsi="仿宋" w:eastAsia="仿宋_GB2312" w:cs="仿宋"/>
          <w:bCs/>
          <w:sz w:val="32"/>
          <w:szCs w:val="32"/>
        </w:rPr>
      </w:pPr>
      <w:r>
        <w:rPr>
          <w:rFonts w:hint="eastAsia" w:ascii="楷体_GB2312" w:hAnsi="楷体_GB2312" w:eastAsia="楷体_GB2312" w:cs="楷体_GB2312"/>
          <w:bCs/>
          <w:sz w:val="32"/>
          <w:szCs w:val="32"/>
        </w:rPr>
        <w:t>2.创意组</w:t>
      </w:r>
    </w:p>
    <w:p w14:paraId="08F576B5">
      <w:pPr>
        <w:widowControl/>
        <w:spacing w:after="150" w:line="600" w:lineRule="exact"/>
        <w:ind w:firstLine="640" w:firstLineChars="200"/>
        <w:rPr>
          <w:rFonts w:hint="eastAsia" w:ascii="仿宋_GB2312" w:hAnsi="仿宋" w:eastAsia="仿宋_GB2312" w:cs="仿宋"/>
          <w:bCs/>
          <w:sz w:val="32"/>
          <w:szCs w:val="32"/>
        </w:rPr>
      </w:pPr>
      <w:r>
        <w:rPr>
          <w:rFonts w:hint="eastAsia" w:ascii="仿宋_GB2312" w:hAnsi="仿宋" w:eastAsia="仿宋_GB2312" w:cs="仿宋"/>
          <w:bCs/>
          <w:sz w:val="32"/>
          <w:szCs w:val="32"/>
        </w:rPr>
        <w:t>（1）参赛项目基于专业和学科背景或相关资源，解决农业农村和城乡社区发展面临的主要问题，助力乡村振兴和社区治理，推动经济价值和社会价值的共同发展。</w:t>
      </w:r>
    </w:p>
    <w:p w14:paraId="4BD7BC2B">
      <w:pPr>
        <w:widowControl/>
        <w:spacing w:after="150" w:line="600" w:lineRule="exact"/>
        <w:ind w:firstLine="640" w:firstLineChars="200"/>
        <w:rPr>
          <w:rFonts w:hint="eastAsia" w:ascii="仿宋_GB2312" w:hAnsi="仿宋" w:eastAsia="仿宋_GB2312" w:cs="仿宋"/>
          <w:bCs/>
          <w:sz w:val="32"/>
          <w:szCs w:val="32"/>
        </w:rPr>
      </w:pPr>
      <w:r>
        <w:rPr>
          <w:rFonts w:hint="eastAsia" w:ascii="仿宋_GB2312" w:hAnsi="仿宋" w:eastAsia="仿宋_GB2312" w:cs="仿宋"/>
          <w:bCs/>
          <w:sz w:val="32"/>
          <w:szCs w:val="32"/>
        </w:rPr>
        <w:t>（2）参赛项目在大赛通知下发之日前尚未完成工商等各类登记注册。</w:t>
      </w:r>
    </w:p>
    <w:p w14:paraId="2E5AA33A">
      <w:pPr>
        <w:widowControl/>
        <w:spacing w:after="150" w:line="600" w:lineRule="exact"/>
        <w:ind w:firstLine="640" w:firstLineChars="200"/>
        <w:rPr>
          <w:rFonts w:hint="eastAsia" w:ascii="楷体_GB2312" w:hAnsi="楷体_GB2312" w:eastAsia="楷体_GB2312" w:cs="楷体_GB2312"/>
          <w:bCs/>
          <w:sz w:val="32"/>
          <w:szCs w:val="32"/>
        </w:rPr>
      </w:pPr>
      <w:r>
        <w:rPr>
          <w:rFonts w:hint="eastAsia" w:ascii="楷体_GB2312" w:hAnsi="楷体_GB2312" w:eastAsia="楷体_GB2312" w:cs="楷体_GB2312"/>
          <w:bCs/>
          <w:sz w:val="32"/>
          <w:szCs w:val="32"/>
        </w:rPr>
        <w:t>3.创业组</w:t>
      </w:r>
    </w:p>
    <w:p w14:paraId="6634A73C">
      <w:pPr>
        <w:widowControl/>
        <w:spacing w:after="150" w:line="600" w:lineRule="exact"/>
        <w:ind w:firstLine="640" w:firstLineChars="200"/>
        <w:rPr>
          <w:rFonts w:hint="eastAsia" w:ascii="仿宋_GB2312" w:hAnsi="仿宋" w:eastAsia="仿宋_GB2312" w:cs="仿宋"/>
          <w:bCs/>
          <w:sz w:val="32"/>
          <w:szCs w:val="32"/>
        </w:rPr>
      </w:pPr>
      <w:r>
        <w:rPr>
          <w:rFonts w:hint="eastAsia" w:ascii="仿宋_GB2312" w:hAnsi="仿宋" w:eastAsia="仿宋_GB2312" w:cs="仿宋"/>
          <w:bCs/>
          <w:sz w:val="32"/>
          <w:szCs w:val="32"/>
        </w:rPr>
        <w:t>（1）参赛项目以商业手段解决农业农村和城乡社区发展面临的主要问题、助力乡村振兴和社区治理，实现经济价值和社会价值的共同发展，推动共同富裕。</w:t>
      </w:r>
    </w:p>
    <w:p w14:paraId="0D00875C">
      <w:pPr>
        <w:widowControl/>
        <w:spacing w:after="150" w:line="600" w:lineRule="exact"/>
        <w:ind w:firstLine="640" w:firstLineChars="200"/>
        <w:rPr>
          <w:rFonts w:ascii="仿宋_GB2312" w:hAnsi="Helvetica" w:eastAsia="仿宋_GB2312" w:cs="Helvetica"/>
          <w:color w:val="262626"/>
          <w:sz w:val="32"/>
          <w:szCs w:val="32"/>
        </w:rPr>
      </w:pPr>
      <w:r>
        <w:rPr>
          <w:rFonts w:hint="eastAsia" w:ascii="仿宋_GB2312" w:hAnsi="仿宋" w:eastAsia="仿宋_GB2312" w:cs="仿宋"/>
          <w:bCs/>
          <w:sz w:val="32"/>
          <w:szCs w:val="32"/>
        </w:rPr>
        <w:t>（2）参赛项目在大赛通知下发之日前已完成工商等各类登记注册，学生须为法定代表人。项目的股权结构中，企业法定代表人的股权不得少于10%，参赛成员股权合计不得少于1/3。</w:t>
      </w:r>
    </w:p>
    <w:p w14:paraId="685590BD">
      <w:pPr>
        <w:tabs>
          <w:tab w:val="center" w:pos="4153"/>
        </w:tabs>
        <w:spacing w:line="600" w:lineRule="exact"/>
        <w:ind w:firstLine="640" w:firstLineChars="200"/>
        <w:rPr>
          <w:rFonts w:hint="eastAsia" w:ascii="黑体" w:hAnsi="黑体" w:eastAsia="黑体" w:cs="黑体"/>
          <w:bCs/>
          <w:color w:val="000000"/>
          <w:sz w:val="32"/>
          <w:szCs w:val="21"/>
        </w:rPr>
      </w:pPr>
      <w:r>
        <w:rPr>
          <w:rFonts w:hint="eastAsia" w:ascii="黑体" w:hAnsi="黑体" w:eastAsia="黑体" w:cs="黑体"/>
          <w:bCs/>
          <w:color w:val="000000"/>
          <w:sz w:val="32"/>
          <w:szCs w:val="21"/>
        </w:rPr>
        <w:t>七、赛程安排</w:t>
      </w:r>
    </w:p>
    <w:p w14:paraId="359E84F8">
      <w:pPr>
        <w:widowControl/>
        <w:spacing w:after="150" w:line="600" w:lineRule="exact"/>
        <w:ind w:firstLine="640" w:firstLineChars="200"/>
        <w:rPr>
          <w:rFonts w:hint="default" w:ascii="仿宋_GB2312" w:hAnsi="Tahoma" w:eastAsia="仿宋_GB2312" w:cs="Tahoma"/>
          <w:kern w:val="2"/>
          <w:sz w:val="32"/>
          <w:szCs w:val="32"/>
          <w:lang w:val="en-US" w:eastAsia="zh-CN" w:bidi="ar-SA"/>
        </w:rPr>
      </w:pPr>
      <w:r>
        <w:rPr>
          <w:rFonts w:hint="eastAsia" w:ascii="仿宋_GB2312" w:hAnsi="Tahoma" w:eastAsia="仿宋_GB2312" w:cs="Tahoma"/>
          <w:kern w:val="2"/>
          <w:sz w:val="32"/>
          <w:szCs w:val="32"/>
          <w:lang w:val="en-US" w:eastAsia="zh-CN" w:bidi="ar-SA"/>
        </w:rPr>
        <w:t>（一）参赛项目由团队负责人所在系负责审核汇总，并于5月8日前将各系2026年“青年红色筑梦之旅”活动方案和参赛团队的报名材料（报名表、报名汇总表、项目演示PPT电子版）以系为单位提交到创新创业学院（行政楼207），电子版发送至邮箱：2105165785@qq.com。</w:t>
      </w:r>
    </w:p>
    <w:p w14:paraId="1D5FDD8F">
      <w:pPr>
        <w:widowControl/>
        <w:spacing w:after="150" w:line="600" w:lineRule="exact"/>
        <w:ind w:firstLine="640" w:firstLineChars="200"/>
        <w:rPr>
          <w:rFonts w:hint="eastAsia" w:ascii="仿宋_GB2312" w:hAnsi="仿宋" w:eastAsia="仿宋_GB2312" w:cs="仿宋"/>
          <w:bCs/>
          <w:sz w:val="32"/>
          <w:szCs w:val="32"/>
          <w:highlight w:val="none"/>
        </w:rPr>
      </w:pPr>
      <w:r>
        <w:rPr>
          <w:rFonts w:hint="eastAsia" w:ascii="仿宋_GB2312" w:hAnsi="仿宋" w:eastAsia="仿宋_GB2312" w:cs="仿宋"/>
          <w:bCs/>
          <w:sz w:val="32"/>
          <w:szCs w:val="32"/>
          <w:highlight w:val="none"/>
        </w:rPr>
        <w:t>联系人：许老师，联系电话：22868627；</w:t>
      </w:r>
    </w:p>
    <w:p w14:paraId="01C38B06">
      <w:pPr>
        <w:widowControl/>
        <w:spacing w:after="150" w:line="600" w:lineRule="exact"/>
        <w:ind w:firstLine="640" w:firstLineChars="200"/>
        <w:rPr>
          <w:rFonts w:hint="default" w:ascii="仿宋_GB2312" w:hAnsi="仿宋" w:eastAsia="仿宋_GB2312" w:cs="仿宋"/>
          <w:bCs/>
          <w:sz w:val="32"/>
          <w:szCs w:val="32"/>
          <w:highlight w:val="none"/>
          <w:lang w:val="en-US" w:eastAsia="zh-CN"/>
        </w:rPr>
      </w:pPr>
      <w:r>
        <w:rPr>
          <w:rFonts w:hint="eastAsia" w:ascii="仿宋_GB2312" w:hAnsi="仿宋" w:eastAsia="仿宋_GB2312" w:cs="仿宋"/>
          <w:bCs/>
          <w:sz w:val="32"/>
          <w:szCs w:val="32"/>
          <w:highlight w:val="none"/>
        </w:rPr>
        <w:t xml:space="preserve">        </w:t>
      </w:r>
      <w:r>
        <w:rPr>
          <w:rFonts w:hint="eastAsia" w:ascii="仿宋_GB2312" w:hAnsi="仿宋" w:eastAsia="仿宋_GB2312" w:cs="仿宋"/>
          <w:bCs/>
          <w:sz w:val="32"/>
          <w:szCs w:val="32"/>
          <w:highlight w:val="none"/>
          <w:lang w:val="en-US" w:eastAsia="zh-CN"/>
        </w:rPr>
        <w:t>胡同学</w:t>
      </w:r>
      <w:r>
        <w:rPr>
          <w:rFonts w:hint="eastAsia" w:ascii="仿宋_GB2312" w:hAnsi="仿宋" w:eastAsia="仿宋_GB2312" w:cs="仿宋"/>
          <w:bCs/>
          <w:sz w:val="32"/>
          <w:szCs w:val="32"/>
          <w:highlight w:val="none"/>
        </w:rPr>
        <w:t>，联系电话：18</w:t>
      </w:r>
      <w:r>
        <w:rPr>
          <w:rFonts w:hint="eastAsia" w:ascii="仿宋_GB2312" w:hAnsi="仿宋" w:eastAsia="仿宋_GB2312" w:cs="仿宋"/>
          <w:bCs/>
          <w:sz w:val="32"/>
          <w:szCs w:val="32"/>
          <w:highlight w:val="none"/>
          <w:lang w:val="en-US" w:eastAsia="zh-CN"/>
        </w:rPr>
        <w:t>900226482</w:t>
      </w:r>
    </w:p>
    <w:p w14:paraId="45B91103">
      <w:pPr>
        <w:widowControl/>
        <w:spacing w:after="150" w:line="600" w:lineRule="exact"/>
        <w:ind w:firstLine="640" w:firstLineChars="200"/>
        <w:rPr>
          <w:rFonts w:hint="eastAsia" w:ascii="仿宋_GB2312" w:hAnsi="仿宋" w:eastAsia="仿宋_GB2312" w:cs="仿宋"/>
          <w:bCs/>
          <w:sz w:val="32"/>
          <w:szCs w:val="32"/>
          <w:highlight w:val="none"/>
        </w:rPr>
      </w:pPr>
      <w:r>
        <w:rPr>
          <w:rFonts w:hint="eastAsia" w:ascii="仿宋_GB2312" w:hAnsi="仿宋" w:eastAsia="仿宋_GB2312" w:cs="仿宋"/>
          <w:bCs/>
          <w:sz w:val="32"/>
          <w:szCs w:val="32"/>
          <w:highlight w:val="none"/>
        </w:rPr>
        <w:t>（二）202</w:t>
      </w:r>
      <w:r>
        <w:rPr>
          <w:rFonts w:hint="eastAsia" w:ascii="仿宋_GB2312" w:hAnsi="仿宋" w:eastAsia="仿宋_GB2312" w:cs="仿宋"/>
          <w:bCs/>
          <w:sz w:val="32"/>
          <w:szCs w:val="32"/>
          <w:highlight w:val="none"/>
          <w:lang w:val="en-US" w:eastAsia="zh-CN"/>
        </w:rPr>
        <w:t>6</w:t>
      </w:r>
      <w:r>
        <w:rPr>
          <w:rFonts w:hint="eastAsia" w:ascii="仿宋_GB2312" w:hAnsi="仿宋" w:eastAsia="仿宋_GB2312" w:cs="仿宋"/>
          <w:bCs/>
          <w:sz w:val="32"/>
          <w:szCs w:val="32"/>
          <w:highlight w:val="none"/>
        </w:rPr>
        <w:t>年5月举办决赛，决赛以现场路演答辩表现为主要评审依据，结合参赛项目路演PPT情况统筹评定。</w:t>
      </w:r>
    </w:p>
    <w:p w14:paraId="67CE83E5">
      <w:pPr>
        <w:widowControl/>
        <w:spacing w:after="150" w:line="600" w:lineRule="exact"/>
        <w:ind w:firstLine="640" w:firstLineChars="200"/>
        <w:rPr>
          <w:rFonts w:hint="eastAsia" w:ascii="仿宋_GB2312" w:hAnsi="仿宋" w:eastAsia="仿宋_GB2312" w:cs="仿宋"/>
          <w:bCs/>
          <w:sz w:val="32"/>
          <w:szCs w:val="32"/>
          <w:highlight w:val="none"/>
        </w:rPr>
      </w:pPr>
      <w:r>
        <w:rPr>
          <w:rFonts w:hint="eastAsia" w:ascii="仿宋_GB2312" w:hAnsi="仿宋" w:eastAsia="仿宋_GB2312" w:cs="仿宋"/>
          <w:bCs/>
          <w:sz w:val="32"/>
          <w:szCs w:val="32"/>
          <w:highlight w:val="none"/>
        </w:rPr>
        <w:t>（三）202</w:t>
      </w:r>
      <w:r>
        <w:rPr>
          <w:rFonts w:hint="eastAsia" w:ascii="仿宋_GB2312" w:hAnsi="仿宋" w:eastAsia="仿宋_GB2312" w:cs="仿宋"/>
          <w:bCs/>
          <w:sz w:val="32"/>
          <w:szCs w:val="32"/>
          <w:highlight w:val="none"/>
          <w:lang w:val="en-US" w:eastAsia="zh-CN"/>
        </w:rPr>
        <w:t>6</w:t>
      </w:r>
      <w:r>
        <w:rPr>
          <w:rFonts w:hint="eastAsia" w:ascii="仿宋_GB2312" w:hAnsi="仿宋" w:eastAsia="仿宋_GB2312" w:cs="仿宋"/>
          <w:bCs/>
          <w:sz w:val="32"/>
          <w:szCs w:val="32"/>
          <w:highlight w:val="none"/>
        </w:rPr>
        <w:t>年6月举办院重点项目集训营活动，积极备战省赛。</w:t>
      </w:r>
    </w:p>
    <w:p w14:paraId="78A6D6EF">
      <w:pPr>
        <w:tabs>
          <w:tab w:val="center" w:pos="4153"/>
        </w:tabs>
        <w:spacing w:line="600" w:lineRule="exact"/>
        <w:ind w:firstLine="640" w:firstLineChars="200"/>
        <w:rPr>
          <w:rFonts w:hint="eastAsia" w:ascii="黑体" w:hAnsi="黑体" w:eastAsia="黑体" w:cs="黑体"/>
          <w:bCs/>
          <w:color w:val="000000"/>
          <w:sz w:val="32"/>
          <w:szCs w:val="21"/>
          <w:highlight w:val="none"/>
        </w:rPr>
      </w:pPr>
      <w:r>
        <w:rPr>
          <w:rFonts w:hint="eastAsia" w:ascii="黑体" w:hAnsi="黑体" w:eastAsia="黑体" w:cs="黑体"/>
          <w:bCs/>
          <w:color w:val="000000"/>
          <w:sz w:val="32"/>
          <w:szCs w:val="21"/>
          <w:highlight w:val="none"/>
        </w:rPr>
        <w:t>八、其他事宜</w:t>
      </w:r>
    </w:p>
    <w:p w14:paraId="33907A7F">
      <w:pPr>
        <w:widowControl/>
        <w:spacing w:after="150" w:line="600" w:lineRule="exact"/>
        <w:ind w:firstLine="640" w:firstLineChars="200"/>
        <w:rPr>
          <w:rFonts w:hint="eastAsia" w:ascii="仿宋_GB2312" w:hAnsi="仿宋" w:eastAsia="仿宋_GB2312" w:cs="仿宋"/>
          <w:bCs/>
          <w:sz w:val="32"/>
          <w:szCs w:val="32"/>
        </w:rPr>
      </w:pPr>
      <w:r>
        <w:rPr>
          <w:rFonts w:hint="eastAsia" w:ascii="仿宋_GB2312" w:hAnsi="仿宋" w:eastAsia="仿宋_GB2312" w:cs="仿宋"/>
          <w:bCs/>
          <w:sz w:val="32"/>
          <w:szCs w:val="32"/>
          <w:highlight w:val="none"/>
        </w:rPr>
        <w:t>（一）各系至少报送</w:t>
      </w:r>
      <w:r>
        <w:rPr>
          <w:rFonts w:hint="eastAsia" w:ascii="仿宋_GB2312" w:hAnsi="仿宋" w:eastAsia="仿宋_GB2312" w:cs="仿宋"/>
          <w:bCs/>
          <w:sz w:val="32"/>
          <w:szCs w:val="32"/>
          <w:highlight w:val="none"/>
          <w:lang w:val="en-US" w:eastAsia="zh-CN"/>
        </w:rPr>
        <w:t>4</w:t>
      </w:r>
      <w:r>
        <w:rPr>
          <w:rFonts w:hint="eastAsia" w:ascii="仿宋_GB2312" w:hAnsi="仿宋" w:eastAsia="仿宋_GB2312" w:cs="仿宋"/>
          <w:bCs/>
          <w:sz w:val="32"/>
          <w:szCs w:val="32"/>
          <w:highlight w:val="none"/>
        </w:rPr>
        <w:t>个项目参</w:t>
      </w:r>
      <w:r>
        <w:rPr>
          <w:rFonts w:hint="eastAsia" w:ascii="仿宋_GB2312" w:hAnsi="仿宋" w:eastAsia="仿宋_GB2312" w:cs="仿宋"/>
          <w:bCs/>
          <w:sz w:val="32"/>
          <w:szCs w:val="32"/>
        </w:rPr>
        <w:t>赛，国际教育学院至少报送</w:t>
      </w:r>
      <w:r>
        <w:rPr>
          <w:rFonts w:hint="eastAsia" w:ascii="仿宋_GB2312" w:hAnsi="仿宋" w:eastAsia="仿宋_GB2312" w:cs="仿宋"/>
          <w:bCs/>
          <w:sz w:val="32"/>
          <w:szCs w:val="32"/>
          <w:lang w:val="en-US" w:eastAsia="zh-CN"/>
        </w:rPr>
        <w:t>2</w:t>
      </w:r>
      <w:r>
        <w:rPr>
          <w:rFonts w:hint="eastAsia" w:ascii="仿宋_GB2312" w:hAnsi="仿宋" w:eastAsia="仿宋_GB2312" w:cs="仿宋"/>
          <w:bCs/>
          <w:sz w:val="32"/>
          <w:szCs w:val="32"/>
        </w:rPr>
        <w:t>个项目参赛，各单位做好宣传发动工作，扩大活动在学院的影响。在保证参与面的同时，要努力提高项目质量，切实做好大赛各项上报准备工作，广泛动员，确保大赛圆满成功。</w:t>
      </w:r>
    </w:p>
    <w:p w14:paraId="36309271">
      <w:pPr>
        <w:pStyle w:val="25"/>
        <w:keepNext w:val="0"/>
        <w:keepLines w:val="0"/>
        <w:pageBreakBefore w:val="0"/>
        <w:widowControl w:val="0"/>
        <w:tabs>
          <w:tab w:val="left" w:pos="1434"/>
        </w:tabs>
        <w:kinsoku/>
        <w:wordWrap/>
        <w:overflowPunct/>
        <w:topLinePunct w:val="0"/>
        <w:autoSpaceDE/>
        <w:autoSpaceDN/>
        <w:bidi w:val="0"/>
        <w:adjustRightInd/>
        <w:snapToGrid w:val="0"/>
        <w:spacing w:beforeLines="0" w:afterLines="0" w:line="560" w:lineRule="exact"/>
        <w:ind w:left="0" w:right="0" w:firstLine="640" w:firstLineChars="200"/>
        <w:textAlignment w:val="auto"/>
        <w:rPr>
          <w:rFonts w:hint="eastAsia" w:ascii="仿宋_GB2312" w:hAnsi="Tahoma" w:eastAsia="仿宋_GB2312" w:cs="Tahoma"/>
          <w:kern w:val="2"/>
          <w:sz w:val="32"/>
          <w:szCs w:val="32"/>
          <w:lang w:val="en-US" w:eastAsia="zh-CN" w:bidi="ar-SA"/>
        </w:rPr>
      </w:pPr>
      <w:r>
        <w:rPr>
          <w:rFonts w:hint="eastAsia" w:ascii="仿宋_GB2312" w:hAnsi="Tahoma" w:eastAsia="仿宋_GB2312" w:cs="Tahoma"/>
          <w:kern w:val="2"/>
          <w:sz w:val="32"/>
          <w:szCs w:val="32"/>
          <w:lang w:val="en-US" w:eastAsia="zh-CN" w:bidi="ar-SA"/>
        </w:rPr>
        <w:t>（二）聚焦“青年红色筑梦之旅”活动，各系要统筹策划好活动方案，要多措并举，持续推进“青年红色筑梦之旅”活动在更大范围、更高层次、更深程度上深入开展。</w:t>
      </w:r>
    </w:p>
    <w:p w14:paraId="18BA737B">
      <w:pPr>
        <w:pStyle w:val="25"/>
        <w:keepNext w:val="0"/>
        <w:keepLines w:val="0"/>
        <w:pageBreakBefore w:val="0"/>
        <w:widowControl w:val="0"/>
        <w:tabs>
          <w:tab w:val="left" w:pos="1434"/>
        </w:tabs>
        <w:kinsoku/>
        <w:wordWrap/>
        <w:overflowPunct/>
        <w:topLinePunct w:val="0"/>
        <w:autoSpaceDE/>
        <w:autoSpaceDN/>
        <w:bidi w:val="0"/>
        <w:adjustRightInd/>
        <w:snapToGrid w:val="0"/>
        <w:spacing w:beforeLines="0" w:afterLines="0" w:line="560" w:lineRule="exact"/>
        <w:ind w:left="0" w:right="0" w:firstLine="640" w:firstLineChars="200"/>
        <w:textAlignment w:val="auto"/>
        <w:rPr>
          <w:rFonts w:hint="eastAsia" w:ascii="仿宋_GB2312" w:hAnsi="仿宋" w:eastAsia="仿宋_GB2312" w:cs="仿宋"/>
          <w:bCs/>
          <w:sz w:val="32"/>
          <w:szCs w:val="32"/>
        </w:rPr>
      </w:pPr>
      <w:r>
        <w:rPr>
          <w:rFonts w:hint="eastAsia" w:ascii="仿宋_GB2312" w:hAnsi="Tahoma" w:eastAsia="仿宋_GB2312" w:cs="Tahoma"/>
          <w:kern w:val="2"/>
          <w:sz w:val="32"/>
          <w:szCs w:val="32"/>
          <w:lang w:val="en-US" w:eastAsia="zh-CN" w:bidi="ar-SA"/>
        </w:rPr>
        <w:t>各院系于7月15日前报送本单位“青年红色筑梦之旅”活动成果材料，包含文字报告、照片、视频等。报送材料要求：文字材料要求纸质版扫描件（加盖部门公章,pdf格式）和电子版（Word格式）；照片要求为竖屏，文件格式为jpg，文件名格式为“活动内容.jpg”,规格统一设置为1024像素</w:t>
      </w:r>
      <w:r>
        <w:rPr>
          <w:rFonts w:hint="eastAsia" w:ascii="仿宋_GB2312" w:hAnsi="Calibri" w:eastAsia="仿宋_GB2312" w:cs="Times New Roman"/>
          <w:sz w:val="32"/>
          <w:szCs w:val="32"/>
          <w:lang w:val="en-US" w:bidi="ar-SA"/>
        </w:rPr>
        <w:t>（高）×768像素（宽）</w:t>
      </w:r>
      <w:r>
        <w:rPr>
          <w:rFonts w:hint="eastAsia" w:ascii="仿宋_GB2312" w:hAnsi="Calibri" w:eastAsia="仿宋_GB2312" w:cs="Times New Roman"/>
          <w:sz w:val="32"/>
          <w:szCs w:val="32"/>
          <w:lang w:val="en-US" w:eastAsia="zh-CN" w:bidi="ar-SA"/>
        </w:rPr>
        <w:t>，</w:t>
      </w:r>
      <w:r>
        <w:rPr>
          <w:rFonts w:hint="eastAsia" w:ascii="仿宋_GB2312" w:hAnsi="Calibri" w:eastAsia="仿宋_GB2312" w:cs="Times New Roman"/>
          <w:sz w:val="32"/>
          <w:szCs w:val="32"/>
          <w:lang w:val="en-US" w:bidi="ar-SA"/>
        </w:rPr>
        <w:t>分辨率不小于300DPI；视频文件格式为MP4，分辨率不低于720×576，文件名格式为</w:t>
      </w:r>
      <w:r>
        <w:rPr>
          <w:rFonts w:hint="eastAsia" w:ascii="仿宋_GB2312" w:hAnsi="Calibri" w:eastAsia="仿宋_GB2312" w:cs="Times New Roman"/>
          <w:sz w:val="32"/>
          <w:szCs w:val="32"/>
          <w:lang w:val="en-US" w:eastAsia="zh-CN" w:bidi="ar-SA"/>
        </w:rPr>
        <w:t>“</w:t>
      </w:r>
      <w:r>
        <w:rPr>
          <w:rFonts w:hint="eastAsia" w:ascii="仿宋_GB2312" w:hAnsi="Calibri" w:eastAsia="仿宋_GB2312" w:cs="Times New Roman"/>
          <w:sz w:val="32"/>
          <w:szCs w:val="32"/>
          <w:lang w:val="en-US" w:bidi="ar-SA"/>
        </w:rPr>
        <w:t>活动内容.mp4</w:t>
      </w:r>
      <w:r>
        <w:rPr>
          <w:rFonts w:hint="eastAsia" w:ascii="仿宋_GB2312" w:hAnsi="Calibri" w:eastAsia="仿宋_GB2312" w:cs="Times New Roman"/>
          <w:sz w:val="32"/>
          <w:szCs w:val="32"/>
          <w:lang w:val="en-US" w:eastAsia="zh-CN" w:bidi="ar-SA"/>
        </w:rPr>
        <w:t>”，</w:t>
      </w:r>
      <w:r>
        <w:rPr>
          <w:rFonts w:hint="eastAsia" w:ascii="仿宋_GB2312" w:hAnsi="Calibri" w:eastAsia="仿宋_GB2312" w:cs="Times New Roman"/>
          <w:sz w:val="32"/>
          <w:szCs w:val="32"/>
          <w:lang w:val="en-US" w:bidi="ar-SA"/>
        </w:rPr>
        <w:t>作为参加</w:t>
      </w:r>
      <w:r>
        <w:rPr>
          <w:rFonts w:hint="eastAsia" w:ascii="仿宋_GB2312" w:hAnsi="Calibri" w:eastAsia="仿宋_GB2312" w:cs="Times New Roman"/>
          <w:sz w:val="32"/>
          <w:szCs w:val="32"/>
          <w:lang w:val="en-US" w:eastAsia="zh-CN" w:bidi="ar-SA"/>
        </w:rPr>
        <w:t>“</w:t>
      </w:r>
      <w:r>
        <w:rPr>
          <w:rFonts w:hint="eastAsia" w:ascii="仿宋_GB2312" w:hAnsi="Calibri" w:eastAsia="仿宋_GB2312" w:cs="Times New Roman"/>
          <w:sz w:val="32"/>
          <w:szCs w:val="32"/>
          <w:lang w:val="en-US" w:bidi="ar-SA"/>
        </w:rPr>
        <w:t>青年红色筑梦之旅</w:t>
      </w:r>
      <w:r>
        <w:rPr>
          <w:rFonts w:hint="eastAsia" w:ascii="仿宋_GB2312" w:hAnsi="Calibri" w:eastAsia="仿宋_GB2312" w:cs="Times New Roman"/>
          <w:sz w:val="32"/>
          <w:szCs w:val="32"/>
          <w:lang w:val="en-US" w:eastAsia="zh-CN" w:bidi="ar-SA"/>
        </w:rPr>
        <w:t>”</w:t>
      </w:r>
      <w:r>
        <w:rPr>
          <w:rFonts w:hint="eastAsia" w:ascii="仿宋_GB2312" w:hAnsi="Calibri" w:eastAsia="仿宋_GB2312" w:cs="Times New Roman"/>
          <w:sz w:val="32"/>
          <w:szCs w:val="32"/>
          <w:lang w:val="en-US" w:bidi="ar-SA"/>
        </w:rPr>
        <w:t>活动的依据。</w:t>
      </w:r>
    </w:p>
    <w:p w14:paraId="5DCB8E33">
      <w:pPr>
        <w:widowControl/>
        <w:spacing w:after="150" w:line="600" w:lineRule="exact"/>
        <w:ind w:firstLine="640" w:firstLineChars="200"/>
        <w:rPr>
          <w:rFonts w:hint="eastAsia" w:ascii="仿宋_GB2312" w:hAnsi="仿宋" w:eastAsia="仿宋_GB2312" w:cs="仿宋"/>
          <w:bCs/>
          <w:sz w:val="32"/>
          <w:szCs w:val="32"/>
        </w:rPr>
      </w:pPr>
      <w:r>
        <w:rPr>
          <w:rFonts w:hint="eastAsia" w:ascii="仿宋_GB2312" w:hAnsi="仿宋" w:eastAsia="仿宋_GB2312" w:cs="仿宋"/>
          <w:bCs/>
          <w:sz w:val="32"/>
          <w:szCs w:val="32"/>
        </w:rPr>
        <w:t>（三）各系应组织参赛团队于6月15日前，通过登录“全国大学生创业服务网（cy.ncss.cn）”或微信公众号（名称为“全国大学生创业服务网”或“中国国际大学生创新大赛”）任一方式进行报名。</w:t>
      </w:r>
    </w:p>
    <w:p w14:paraId="651B1111">
      <w:pPr>
        <w:widowControl/>
        <w:spacing w:after="150" w:line="600" w:lineRule="exact"/>
        <w:ind w:firstLine="640" w:firstLineChars="200"/>
        <w:rPr>
          <w:rFonts w:hint="eastAsia" w:ascii="仿宋_GB2312" w:hAnsi="仿宋" w:eastAsia="仿宋_GB2312" w:cs="仿宋"/>
          <w:bCs/>
          <w:sz w:val="32"/>
          <w:szCs w:val="32"/>
        </w:rPr>
      </w:pPr>
    </w:p>
    <w:p w14:paraId="5A6AB182">
      <w:pPr>
        <w:widowControl/>
        <w:spacing w:after="150" w:line="600" w:lineRule="exact"/>
        <w:ind w:firstLine="640" w:firstLineChars="200"/>
        <w:rPr>
          <w:rFonts w:hint="eastAsia" w:ascii="仿宋_GB2312" w:hAnsi="仿宋" w:eastAsia="仿宋_GB2312" w:cs="仿宋"/>
          <w:bCs/>
          <w:sz w:val="32"/>
          <w:szCs w:val="32"/>
          <w:highlight w:val="none"/>
        </w:rPr>
      </w:pPr>
      <w:r>
        <w:rPr>
          <w:rFonts w:hint="eastAsia" w:ascii="仿宋_GB2312" w:hAnsi="仿宋" w:eastAsia="仿宋_GB2312" w:cs="仿宋"/>
          <w:bCs/>
          <w:sz w:val="32"/>
          <w:szCs w:val="32"/>
        </w:rPr>
        <w:t>附件：1.福建师范大学协和学院大学生创新</w:t>
      </w:r>
      <w:r>
        <w:rPr>
          <w:rFonts w:hint="eastAsia" w:ascii="仿宋_GB2312" w:hAnsi="仿宋" w:eastAsia="仿宋_GB2312" w:cs="仿宋"/>
          <w:bCs/>
          <w:sz w:val="32"/>
          <w:szCs w:val="32"/>
          <w:highlight w:val="none"/>
        </w:rPr>
        <w:t>大赛（202</w:t>
      </w:r>
      <w:r>
        <w:rPr>
          <w:rFonts w:hint="eastAsia" w:ascii="仿宋_GB2312" w:hAnsi="仿宋" w:eastAsia="仿宋_GB2312" w:cs="仿宋"/>
          <w:bCs/>
          <w:sz w:val="32"/>
          <w:szCs w:val="32"/>
          <w:highlight w:val="none"/>
          <w:lang w:val="en-US" w:eastAsia="zh-CN"/>
        </w:rPr>
        <w:t>6</w:t>
      </w:r>
      <w:r>
        <w:rPr>
          <w:rFonts w:hint="eastAsia" w:ascii="仿宋_GB2312" w:hAnsi="仿宋" w:eastAsia="仿宋_GB2312" w:cs="仿宋"/>
          <w:bCs/>
          <w:sz w:val="32"/>
          <w:szCs w:val="32"/>
          <w:highlight w:val="none"/>
        </w:rPr>
        <w:t>）报名表</w:t>
      </w:r>
    </w:p>
    <w:p w14:paraId="4A28BD7D">
      <w:pPr>
        <w:widowControl/>
        <w:spacing w:after="150" w:line="600" w:lineRule="exact"/>
        <w:ind w:firstLine="1600" w:firstLineChars="500"/>
        <w:rPr>
          <w:rFonts w:hint="eastAsia" w:ascii="仿宋_GB2312" w:hAnsi="仿宋" w:eastAsia="仿宋_GB2312" w:cs="仿宋"/>
          <w:bCs/>
          <w:sz w:val="32"/>
          <w:szCs w:val="32"/>
          <w:highlight w:val="none"/>
        </w:rPr>
      </w:pPr>
      <w:r>
        <w:rPr>
          <w:rFonts w:ascii="仿宋_GB2312" w:hAnsi="仿宋" w:eastAsia="仿宋_GB2312" w:cs="仿宋"/>
          <w:bCs/>
          <w:sz w:val="32"/>
          <w:szCs w:val="32"/>
          <w:highlight w:val="none"/>
        </w:rPr>
        <w:t>2</w:t>
      </w:r>
      <w:r>
        <w:rPr>
          <w:rFonts w:hint="eastAsia" w:ascii="仿宋_GB2312" w:hAnsi="仿宋" w:eastAsia="仿宋_GB2312" w:cs="仿宋"/>
          <w:bCs/>
          <w:sz w:val="32"/>
          <w:szCs w:val="32"/>
          <w:highlight w:val="none"/>
        </w:rPr>
        <w:t>.</w:t>
      </w:r>
      <w:r>
        <w:rPr>
          <w:rFonts w:ascii="仿宋_GB2312" w:hAnsi="仿宋" w:eastAsia="仿宋_GB2312" w:cs="仿宋"/>
          <w:bCs/>
          <w:sz w:val="32"/>
          <w:szCs w:val="32"/>
          <w:highlight w:val="none"/>
        </w:rPr>
        <w:t>福建师范大学协和学院大学生创新大赛（202</w:t>
      </w:r>
      <w:r>
        <w:rPr>
          <w:rFonts w:hint="eastAsia" w:ascii="仿宋_GB2312" w:hAnsi="仿宋" w:eastAsia="仿宋_GB2312" w:cs="仿宋"/>
          <w:bCs/>
          <w:sz w:val="32"/>
          <w:szCs w:val="32"/>
          <w:highlight w:val="none"/>
          <w:lang w:val="en-US" w:eastAsia="zh-CN"/>
        </w:rPr>
        <w:t>6</w:t>
      </w:r>
      <w:r>
        <w:rPr>
          <w:rFonts w:ascii="仿宋_GB2312" w:hAnsi="仿宋" w:eastAsia="仿宋_GB2312" w:cs="仿宋"/>
          <w:bCs/>
          <w:sz w:val="32"/>
          <w:szCs w:val="32"/>
          <w:highlight w:val="none"/>
        </w:rPr>
        <w:t>）报名汇总表</w:t>
      </w:r>
    </w:p>
    <w:p w14:paraId="17FA4884">
      <w:pPr>
        <w:widowControl/>
        <w:spacing w:after="150" w:line="600" w:lineRule="exact"/>
        <w:rPr>
          <w:rFonts w:hint="eastAsia" w:ascii="仿宋_GB2312" w:hAnsi="仿宋" w:eastAsia="仿宋_GB2312" w:cs="仿宋"/>
          <w:bCs/>
          <w:sz w:val="32"/>
          <w:szCs w:val="32"/>
        </w:rPr>
      </w:pPr>
    </w:p>
    <w:p w14:paraId="77BCBD33">
      <w:pPr>
        <w:widowControl/>
        <w:spacing w:after="150" w:line="600" w:lineRule="exact"/>
        <w:rPr>
          <w:rFonts w:hint="eastAsia" w:ascii="仿宋_GB2312" w:hAnsi="仿宋" w:eastAsia="仿宋_GB2312" w:cs="仿宋"/>
          <w:bCs/>
          <w:sz w:val="32"/>
          <w:szCs w:val="32"/>
        </w:rPr>
      </w:pPr>
    </w:p>
    <w:p w14:paraId="1EB35826">
      <w:pPr>
        <w:spacing w:line="600" w:lineRule="exact"/>
        <w:ind w:right="-19"/>
        <w:jc w:val="right"/>
        <w:rPr>
          <w:rFonts w:ascii="仿宋_GB2312" w:hAnsi="Times New Roman" w:eastAsia="仿宋_GB2312"/>
          <w:color w:val="000000"/>
          <w:sz w:val="32"/>
          <w:szCs w:val="32"/>
        </w:rPr>
      </w:pPr>
      <w:r>
        <w:rPr>
          <w:rFonts w:hint="eastAsia" w:ascii="仿宋_GB2312" w:hAnsi="Times New Roman" w:eastAsia="仿宋_GB2312"/>
          <w:color w:val="000000"/>
          <w:sz w:val="32"/>
          <w:szCs w:val="32"/>
        </w:rPr>
        <w:t>福建师范大学协和学院创新创业</w:t>
      </w:r>
      <w:r>
        <w:rPr>
          <w:rFonts w:ascii="仿宋_GB2312" w:hAnsi="Times New Roman" w:eastAsia="仿宋_GB2312"/>
          <w:color w:val="000000"/>
          <w:sz w:val="32"/>
          <w:szCs w:val="32"/>
        </w:rPr>
        <w:t>学院</w:t>
      </w:r>
    </w:p>
    <w:p w14:paraId="45AA0A4A">
      <w:pPr>
        <w:pStyle w:val="6"/>
        <w:spacing w:beforeAutospacing="0" w:afterAutospacing="0" w:line="600" w:lineRule="exact"/>
        <w:ind w:firstLine="4480" w:firstLineChars="1400"/>
        <w:rPr>
          <w:rFonts w:hint="eastAsia" w:ascii="仿宋_GB2312" w:hAnsi="Times New Roman" w:eastAsia="仿宋_GB2312"/>
          <w:color w:val="000000"/>
          <w:sz w:val="32"/>
          <w:szCs w:val="32"/>
          <w:highlight w:val="none"/>
        </w:rPr>
      </w:pPr>
      <w:r>
        <w:rPr>
          <w:rFonts w:hint="eastAsia" w:ascii="仿宋_GB2312" w:hAnsi="Times New Roman" w:eastAsia="仿宋_GB2312"/>
          <w:color w:val="000000"/>
          <w:sz w:val="32"/>
          <w:szCs w:val="32"/>
          <w:highlight w:val="none"/>
        </w:rPr>
        <w:t>202</w:t>
      </w:r>
      <w:r>
        <w:rPr>
          <w:rFonts w:hint="eastAsia" w:ascii="仿宋_GB2312" w:hAnsi="Times New Roman" w:eastAsia="仿宋_GB2312"/>
          <w:color w:val="000000"/>
          <w:sz w:val="32"/>
          <w:szCs w:val="32"/>
          <w:highlight w:val="none"/>
          <w:lang w:val="en-US" w:eastAsia="zh-CN"/>
        </w:rPr>
        <w:t>6</w:t>
      </w:r>
      <w:r>
        <w:rPr>
          <w:rFonts w:hint="eastAsia" w:ascii="仿宋_GB2312" w:hAnsi="Times New Roman" w:eastAsia="仿宋_GB2312"/>
          <w:color w:val="000000"/>
          <w:sz w:val="32"/>
          <w:szCs w:val="32"/>
          <w:highlight w:val="none"/>
        </w:rPr>
        <w:t>年</w:t>
      </w:r>
      <w:r>
        <w:rPr>
          <w:rFonts w:hint="eastAsia" w:ascii="仿宋_GB2312" w:hAnsi="Times New Roman" w:eastAsia="仿宋_GB2312"/>
          <w:color w:val="000000"/>
          <w:sz w:val="32"/>
          <w:szCs w:val="32"/>
          <w:highlight w:val="none"/>
          <w:lang w:val="en-US" w:eastAsia="zh-CN"/>
        </w:rPr>
        <w:t>4</w:t>
      </w:r>
      <w:r>
        <w:rPr>
          <w:rFonts w:hint="eastAsia" w:ascii="仿宋_GB2312" w:hAnsi="Times New Roman" w:eastAsia="仿宋_GB2312"/>
          <w:color w:val="000000"/>
          <w:sz w:val="32"/>
          <w:szCs w:val="32"/>
          <w:highlight w:val="none"/>
        </w:rPr>
        <w:t>月1</w:t>
      </w:r>
      <w:r>
        <w:rPr>
          <w:rFonts w:hint="eastAsia" w:ascii="仿宋_GB2312" w:hAnsi="Times New Roman" w:eastAsia="仿宋_GB2312"/>
          <w:color w:val="000000"/>
          <w:sz w:val="32"/>
          <w:szCs w:val="32"/>
          <w:highlight w:val="none"/>
          <w:lang w:val="en-US" w:eastAsia="zh-CN"/>
        </w:rPr>
        <w:t>4</w:t>
      </w:r>
      <w:r>
        <w:rPr>
          <w:rFonts w:hint="eastAsia" w:ascii="仿宋_GB2312" w:hAnsi="Times New Roman" w:eastAsia="仿宋_GB2312"/>
          <w:color w:val="000000"/>
          <w:sz w:val="32"/>
          <w:szCs w:val="32"/>
          <w:highlight w:val="none"/>
        </w:rPr>
        <w:t>日</w:t>
      </w:r>
    </w:p>
    <w:p w14:paraId="120B0596">
      <w:pPr>
        <w:pStyle w:val="6"/>
        <w:spacing w:beforeAutospacing="0" w:afterAutospacing="0" w:line="600" w:lineRule="exact"/>
        <w:ind w:firstLine="4480" w:firstLineChars="1400"/>
        <w:rPr>
          <w:rFonts w:hint="eastAsia" w:ascii="仿宋_GB2312" w:hAnsi="Times New Roman" w:eastAsia="仿宋_GB2312"/>
          <w:color w:val="000000"/>
          <w:sz w:val="32"/>
          <w:szCs w:val="32"/>
          <w:highlight w:val="none"/>
        </w:rPr>
      </w:pPr>
    </w:p>
    <w:p w14:paraId="7075F9F6">
      <w:pPr>
        <w:pStyle w:val="6"/>
        <w:spacing w:beforeAutospacing="0" w:afterAutospacing="0" w:line="600" w:lineRule="exact"/>
        <w:ind w:firstLine="4480" w:firstLineChars="1400"/>
        <w:rPr>
          <w:rFonts w:hint="eastAsia" w:ascii="仿宋_GB2312" w:hAnsi="Times New Roman" w:eastAsia="仿宋_GB2312"/>
          <w:color w:val="000000"/>
          <w:sz w:val="32"/>
          <w:szCs w:val="32"/>
          <w:highlight w:val="none"/>
        </w:rPr>
      </w:pPr>
    </w:p>
    <w:p w14:paraId="2B642E46">
      <w:pPr>
        <w:pStyle w:val="6"/>
        <w:spacing w:beforeAutospacing="0" w:afterAutospacing="0" w:line="600" w:lineRule="exact"/>
        <w:ind w:firstLine="4480" w:firstLineChars="1400"/>
        <w:rPr>
          <w:rFonts w:hint="eastAsia" w:ascii="仿宋_GB2312" w:hAnsi="Times New Roman" w:eastAsia="仿宋_GB2312"/>
          <w:color w:val="000000"/>
          <w:sz w:val="32"/>
          <w:szCs w:val="32"/>
          <w:highlight w:val="none"/>
        </w:rPr>
      </w:pPr>
    </w:p>
    <w:p w14:paraId="6CA5F1F4">
      <w:pPr>
        <w:pStyle w:val="6"/>
        <w:spacing w:beforeAutospacing="0" w:afterAutospacing="0" w:line="600" w:lineRule="exact"/>
        <w:ind w:firstLine="4480" w:firstLineChars="1400"/>
        <w:rPr>
          <w:rFonts w:hint="eastAsia" w:ascii="仿宋_GB2312" w:hAnsi="Times New Roman" w:eastAsia="仿宋_GB2312"/>
          <w:color w:val="000000"/>
          <w:sz w:val="32"/>
          <w:szCs w:val="32"/>
          <w:highlight w:val="none"/>
        </w:rPr>
      </w:pPr>
    </w:p>
    <w:p w14:paraId="20F56C02">
      <w:pPr>
        <w:pStyle w:val="6"/>
        <w:spacing w:beforeAutospacing="0" w:afterAutospacing="0" w:line="600" w:lineRule="exact"/>
        <w:ind w:firstLine="4480" w:firstLineChars="1400"/>
        <w:rPr>
          <w:rFonts w:hint="eastAsia" w:ascii="仿宋_GB2312" w:hAnsi="Times New Roman" w:eastAsia="仿宋_GB2312"/>
          <w:color w:val="000000"/>
          <w:sz w:val="32"/>
          <w:szCs w:val="32"/>
          <w:highlight w:val="none"/>
        </w:rPr>
      </w:pPr>
    </w:p>
    <w:p w14:paraId="67FA84E1">
      <w:pPr>
        <w:pStyle w:val="6"/>
        <w:spacing w:beforeAutospacing="0" w:afterAutospacing="0" w:line="600" w:lineRule="exact"/>
        <w:ind w:firstLine="4480" w:firstLineChars="1400"/>
        <w:rPr>
          <w:rFonts w:hint="eastAsia" w:ascii="仿宋_GB2312" w:hAnsi="Times New Roman" w:eastAsia="仿宋_GB2312"/>
          <w:color w:val="000000"/>
          <w:sz w:val="32"/>
          <w:szCs w:val="32"/>
          <w:highlight w:val="none"/>
        </w:rPr>
      </w:pPr>
    </w:p>
    <w:p w14:paraId="77226CD3">
      <w:pPr>
        <w:pStyle w:val="6"/>
        <w:spacing w:beforeAutospacing="0" w:afterAutospacing="0" w:line="600" w:lineRule="exact"/>
        <w:ind w:firstLine="4480" w:firstLineChars="1400"/>
        <w:rPr>
          <w:rFonts w:hint="eastAsia" w:ascii="仿宋_GB2312" w:hAnsi="Times New Roman" w:eastAsia="仿宋_GB2312"/>
          <w:color w:val="000000"/>
          <w:sz w:val="32"/>
          <w:szCs w:val="32"/>
          <w:highlight w:val="none"/>
        </w:rPr>
      </w:pPr>
    </w:p>
    <w:p w14:paraId="13192281">
      <w:pPr>
        <w:pStyle w:val="6"/>
        <w:spacing w:beforeAutospacing="0" w:afterAutospacing="0" w:line="600" w:lineRule="exact"/>
        <w:rPr>
          <w:rFonts w:hint="eastAsia" w:ascii="仿宋_GB2312" w:hAnsi="Times New Roman" w:eastAsia="仿宋_GB2312"/>
          <w:color w:val="000000"/>
          <w:sz w:val="32"/>
          <w:szCs w:val="32"/>
          <w:highlight w:val="none"/>
        </w:rPr>
      </w:pPr>
    </w:p>
    <w:p w14:paraId="2B022652">
      <w:pPr>
        <w:pStyle w:val="6"/>
        <w:spacing w:beforeAutospacing="0" w:afterAutospacing="0" w:line="600" w:lineRule="exact"/>
        <w:ind w:firstLine="4480" w:firstLineChars="1400"/>
        <w:rPr>
          <w:rFonts w:hint="eastAsia" w:ascii="仿宋_GB2312" w:hAnsi="Times New Roman" w:eastAsia="仿宋_GB2312"/>
          <w:color w:val="000000"/>
          <w:sz w:val="32"/>
          <w:szCs w:val="32"/>
          <w:highlight w:val="none"/>
        </w:rPr>
      </w:pPr>
    </w:p>
    <w:p w14:paraId="3EF7EAB5">
      <w:pPr>
        <w:pStyle w:val="6"/>
        <w:spacing w:beforeAutospacing="0" w:afterAutospacing="0" w:line="600" w:lineRule="exact"/>
        <w:ind w:firstLine="4480" w:firstLineChars="1400"/>
        <w:rPr>
          <w:rFonts w:hint="eastAsia" w:ascii="仿宋_GB2312" w:hAnsi="Times New Roman" w:eastAsia="仿宋_GB2312"/>
          <w:color w:val="000000"/>
          <w:sz w:val="32"/>
          <w:szCs w:val="32"/>
          <w:highlight w:val="none"/>
        </w:rPr>
      </w:pPr>
    </w:p>
    <w:p w14:paraId="22C56E16">
      <w:pPr>
        <w:pStyle w:val="6"/>
        <w:spacing w:beforeAutospacing="0" w:afterAutospacing="0" w:line="600" w:lineRule="exact"/>
        <w:ind w:firstLine="4480" w:firstLineChars="1400"/>
        <w:rPr>
          <w:rFonts w:hint="eastAsia" w:ascii="仿宋_GB2312" w:hAnsi="Times New Roman" w:eastAsia="仿宋_GB2312"/>
          <w:color w:val="000000"/>
          <w:sz w:val="32"/>
          <w:szCs w:val="32"/>
          <w:highlight w:val="none"/>
        </w:rPr>
      </w:pPr>
    </w:p>
    <w:p w14:paraId="5FFC5449">
      <w:pPr>
        <w:pStyle w:val="6"/>
        <w:spacing w:beforeAutospacing="0" w:afterAutospacing="0" w:line="600" w:lineRule="exact"/>
        <w:ind w:firstLine="4480" w:firstLineChars="1400"/>
        <w:rPr>
          <w:rFonts w:hint="eastAsia" w:ascii="仿宋_GB2312" w:hAnsi="Times New Roman" w:eastAsia="仿宋_GB2312"/>
          <w:color w:val="000000"/>
          <w:sz w:val="32"/>
          <w:szCs w:val="32"/>
          <w:highlight w:val="none"/>
        </w:rPr>
      </w:pPr>
    </w:p>
    <w:p w14:paraId="77AF25A0">
      <w:pPr>
        <w:pStyle w:val="6"/>
        <w:spacing w:beforeAutospacing="0" w:afterAutospacing="0" w:line="600" w:lineRule="exact"/>
        <w:ind w:firstLine="4480" w:firstLineChars="1400"/>
        <w:rPr>
          <w:rFonts w:hint="eastAsia" w:ascii="仿宋_GB2312" w:hAnsi="Times New Roman" w:eastAsia="仿宋_GB2312"/>
          <w:color w:val="000000"/>
          <w:sz w:val="32"/>
          <w:szCs w:val="32"/>
          <w:highlight w:val="none"/>
        </w:rPr>
      </w:pPr>
    </w:p>
    <w:p w14:paraId="2A64BDAB">
      <w:pPr>
        <w:pStyle w:val="6"/>
        <w:spacing w:beforeAutospacing="0" w:afterAutospacing="0" w:line="600" w:lineRule="exact"/>
        <w:ind w:firstLine="4480" w:firstLineChars="1400"/>
        <w:rPr>
          <w:rFonts w:hint="eastAsia" w:ascii="仿宋_GB2312" w:hAnsi="Times New Roman" w:eastAsia="仿宋_GB2312"/>
          <w:color w:val="000000"/>
          <w:sz w:val="32"/>
          <w:szCs w:val="32"/>
          <w:highlight w:val="none"/>
        </w:rPr>
      </w:pPr>
    </w:p>
    <w:p w14:paraId="32F7C45D">
      <w:pPr>
        <w:keepNext w:val="0"/>
        <w:keepLines w:val="0"/>
        <w:pageBreakBefore w:val="0"/>
        <w:pBdr>
          <w:bottom w:val="single" w:color="auto" w:sz="6" w:space="1"/>
        </w:pBdr>
        <w:kinsoku/>
        <w:overflowPunct/>
        <w:topLinePunct w:val="0"/>
        <w:autoSpaceDE/>
        <w:autoSpaceDN/>
        <w:bidi w:val="0"/>
        <w:adjustRightInd/>
        <w:snapToGrid/>
        <w:spacing w:line="600" w:lineRule="exact"/>
        <w:textAlignment w:val="auto"/>
        <w:rPr>
          <w:rFonts w:hint="eastAsia" w:ascii="仿宋_GB2312" w:hAnsi="宋体" w:eastAsia="仿宋_GB2312"/>
          <w:sz w:val="32"/>
        </w:rPr>
      </w:pPr>
    </w:p>
    <w:p w14:paraId="59BC48B5">
      <w:pPr>
        <w:keepNext w:val="0"/>
        <w:keepLines w:val="0"/>
        <w:pageBreakBefore w:val="0"/>
        <w:kinsoku/>
        <w:overflowPunct/>
        <w:topLinePunct w:val="0"/>
        <w:autoSpaceDE/>
        <w:autoSpaceDN/>
        <w:bidi w:val="0"/>
        <w:adjustRightInd/>
        <w:snapToGrid/>
        <w:spacing w:line="600" w:lineRule="exact"/>
        <w:ind w:firstLine="280" w:firstLineChars="100"/>
        <w:textAlignment w:val="auto"/>
        <w:rPr>
          <w:rFonts w:hint="eastAsia" w:ascii="仿宋_GB2312" w:hAnsi="仿宋" w:eastAsia="仿宋_GB2312"/>
          <w:sz w:val="28"/>
          <w:szCs w:val="28"/>
          <w:lang w:val="en-US" w:eastAsia="zh-CN"/>
        </w:rPr>
      </w:pPr>
      <w:r>
        <w:rPr>
          <w:rFonts w:hint="eastAsia" w:ascii="仿宋_GB2312" w:hAnsi="仿宋" w:eastAsia="仿宋_GB2312"/>
          <w:sz w:val="28"/>
          <w:szCs w:val="28"/>
        </w:rPr>
        <w:t>抄送：戴副书记</w:t>
      </w:r>
      <w:r>
        <w:rPr>
          <w:rFonts w:ascii="仿宋_GB2312" w:hAnsi="仿宋" w:eastAsia="仿宋_GB2312"/>
          <w:sz w:val="28"/>
          <w:szCs w:val="28"/>
        </w:rPr>
        <w:t>，</w:t>
      </w:r>
    </w:p>
    <w:p w14:paraId="584ACA88">
      <w:pPr>
        <w:spacing w:line="600" w:lineRule="exact"/>
        <w:ind w:firstLine="980" w:firstLineChars="350"/>
        <w:rPr>
          <w:rFonts w:hint="eastAsia" w:ascii="仿宋_GB2312" w:hAnsi="仿宋" w:eastAsia="仿宋_GB2312"/>
          <w:sz w:val="28"/>
          <w:szCs w:val="28"/>
          <w:highlight w:val="none"/>
        </w:rPr>
      </w:pPr>
      <w:r>
        <w:rPr>
          <w:rFonts w:hint="eastAsia" w:ascii="仿宋_GB2312" w:hAnsi="仿宋" w:eastAsia="仿宋_GB2312"/>
          <w:sz w:val="28"/>
          <w:szCs w:val="28"/>
        </w:rPr>
        <w:t>学生事务部、财务部</w:t>
      </w:r>
      <w:r>
        <w:rPr>
          <w:rFonts w:hint="eastAsia" w:ascii="仿宋_GB2312" w:hAnsi="仿宋" w:eastAsia="仿宋_GB2312"/>
          <w:sz w:val="28"/>
          <w:szCs w:val="28"/>
          <w:lang w:eastAsia="zh-CN"/>
        </w:rPr>
        <w:t>。</w:t>
      </w:r>
    </w:p>
    <w:p w14:paraId="71633805">
      <w:pPr>
        <w:pBdr>
          <w:top w:val="single" w:color="auto" w:sz="6" w:space="0"/>
          <w:bottom w:val="single" w:color="auto" w:sz="6" w:space="1"/>
        </w:pBdr>
        <w:spacing w:line="600" w:lineRule="exact"/>
        <w:ind w:firstLine="280" w:firstLineChars="100"/>
        <w:rPr>
          <w:rFonts w:ascii="仿宋_GB2312" w:hAnsi="Times New Roman" w:eastAsia="仿宋_GB2312"/>
          <w:color w:val="000000"/>
          <w:sz w:val="32"/>
          <w:szCs w:val="32"/>
        </w:rPr>
      </w:pPr>
      <w:r>
        <w:rPr>
          <w:rFonts w:hint="eastAsia" w:ascii="仿宋_GB2312" w:hAnsi="仿宋" w:eastAsia="仿宋_GB2312"/>
          <w:sz w:val="28"/>
          <w:szCs w:val="28"/>
          <w:highlight w:val="none"/>
        </w:rPr>
        <w:t>福建师范大学协和学院创新创业</w:t>
      </w:r>
      <w:r>
        <w:rPr>
          <w:rFonts w:ascii="仿宋_GB2312" w:hAnsi="仿宋" w:eastAsia="仿宋_GB2312"/>
          <w:sz w:val="28"/>
          <w:szCs w:val="28"/>
          <w:highlight w:val="none"/>
        </w:rPr>
        <w:t>学院</w:t>
      </w:r>
      <w:r>
        <w:rPr>
          <w:rFonts w:hint="eastAsia" w:ascii="仿宋_GB2312" w:hAnsi="仿宋" w:eastAsia="仿宋_GB2312"/>
          <w:sz w:val="28"/>
          <w:szCs w:val="28"/>
          <w:highlight w:val="none"/>
        </w:rPr>
        <w:t xml:space="preserve">      202</w:t>
      </w:r>
      <w:r>
        <w:rPr>
          <w:rFonts w:hint="eastAsia" w:ascii="仿宋_GB2312" w:hAnsi="仿宋" w:eastAsia="仿宋_GB2312"/>
          <w:sz w:val="28"/>
          <w:szCs w:val="28"/>
          <w:highlight w:val="none"/>
          <w:lang w:val="en-US" w:eastAsia="zh-CN"/>
        </w:rPr>
        <w:t>6</w:t>
      </w:r>
      <w:r>
        <w:rPr>
          <w:rFonts w:hint="eastAsia" w:ascii="仿宋_GB2312" w:hAnsi="仿宋" w:eastAsia="仿宋_GB2312"/>
          <w:sz w:val="28"/>
          <w:szCs w:val="28"/>
          <w:highlight w:val="none"/>
        </w:rPr>
        <w:t>年</w:t>
      </w:r>
      <w:r>
        <w:rPr>
          <w:rFonts w:hint="eastAsia" w:ascii="仿宋_GB2312" w:hAnsi="仿宋" w:eastAsia="仿宋_GB2312"/>
          <w:sz w:val="28"/>
          <w:szCs w:val="28"/>
          <w:highlight w:val="none"/>
          <w:lang w:val="en-US" w:eastAsia="zh-CN"/>
        </w:rPr>
        <w:t>4</w:t>
      </w:r>
      <w:r>
        <w:rPr>
          <w:rFonts w:hint="eastAsia" w:ascii="仿宋_GB2312" w:hAnsi="仿宋" w:eastAsia="仿宋_GB2312"/>
          <w:sz w:val="28"/>
          <w:szCs w:val="28"/>
          <w:highlight w:val="none"/>
        </w:rPr>
        <w:t>月1</w:t>
      </w:r>
      <w:r>
        <w:rPr>
          <w:rFonts w:hint="eastAsia" w:ascii="仿宋_GB2312" w:hAnsi="仿宋" w:eastAsia="仿宋_GB2312"/>
          <w:sz w:val="28"/>
          <w:szCs w:val="28"/>
          <w:highlight w:val="none"/>
          <w:lang w:val="en-US" w:eastAsia="zh-CN"/>
        </w:rPr>
        <w:t>4</w:t>
      </w:r>
      <w:r>
        <w:rPr>
          <w:rFonts w:hint="eastAsia" w:ascii="仿宋_GB2312" w:hAnsi="仿宋" w:eastAsia="仿宋_GB2312"/>
          <w:sz w:val="28"/>
          <w:szCs w:val="28"/>
          <w:highlight w:val="none"/>
        </w:rPr>
        <w:t>日印发</w:t>
      </w:r>
      <w:r>
        <w:rPr>
          <w:rFonts w:hint="eastAsia" w:ascii="仿宋_GB2312" w:hAnsi="仿宋" w:eastAsia="仿宋_GB2312"/>
          <w:sz w:val="28"/>
          <w:szCs w:val="28"/>
        </w:rPr>
        <w:t xml:space="preserve"> </w:t>
      </w:r>
    </w:p>
    <w:sectPr>
      <w:footerReference r:id="rId4" w:type="default"/>
      <w:headerReference r:id="rId3" w:type="even"/>
      <w:footerReference r:id="rId5" w:type="even"/>
      <w:pgSz w:w="11906" w:h="16838"/>
      <w:pgMar w:top="1440" w:right="1800" w:bottom="1440" w:left="1800" w:header="680" w:footer="680"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panose1 w:val="02010601030101010101"/>
    <w:charset w:val="86"/>
    <w:family w:val="script"/>
    <w:pitch w:val="default"/>
    <w:sig w:usb0="00000001" w:usb1="080E0000" w:usb2="00000000" w:usb3="00000000" w:csb0="00040000" w:csb1="00000000"/>
  </w:font>
  <w:font w:name="Helvetica">
    <w:altName w:val="Arial"/>
    <w:panose1 w:val="020B0604020202020204"/>
    <w:charset w:val="00"/>
    <w:family w:val="swiss"/>
    <w:pitch w:val="default"/>
    <w:sig w:usb0="00000000" w:usb1="00000000" w:usb2="00000009" w:usb3="00000000" w:csb0="000001FF" w:csb1="00000000"/>
  </w:font>
  <w:font w:name="Consolas">
    <w:panose1 w:val="020B0609020204030204"/>
    <w:charset w:val="00"/>
    <w:family w:val="modern"/>
    <w:pitch w:val="default"/>
    <w:sig w:usb0="E00006FF" w:usb1="0000FCFF" w:usb2="00000001" w:usb3="00000000" w:csb0="6000019F" w:csb1="DFD70000"/>
  </w:font>
  <w:font w:name="微软雅黑">
    <w:panose1 w:val="020B0503020204020204"/>
    <w:charset w:val="86"/>
    <w:family w:val="swiss"/>
    <w:pitch w:val="default"/>
    <w:sig w:usb0="80000287" w:usb1="2ACF3C50" w:usb2="00000016" w:usb3="00000000" w:csb0="0004001F"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Tahoma">
    <w:panose1 w:val="020B0604030504040204"/>
    <w:charset w:val="00"/>
    <w:family w:val="swiss"/>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05AEBC">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9EA5139">
                          <w:pPr>
                            <w:pStyle w:val="4"/>
                          </w:pPr>
                          <w:r>
                            <w:rPr>
                              <w:rFonts w:hint="eastAsia" w:ascii="仿宋_GB2312" w:hAnsi="仿宋_GB2312" w:eastAsia="仿宋_GB2312" w:cs="仿宋_GB2312"/>
                              <w:sz w:val="30"/>
                              <w:szCs w:val="30"/>
                            </w:rPr>
                            <w:fldChar w:fldCharType="begin"/>
                          </w:r>
                          <w:r>
                            <w:rPr>
                              <w:rFonts w:hint="eastAsia" w:ascii="仿宋_GB2312" w:hAnsi="仿宋_GB2312" w:eastAsia="仿宋_GB2312" w:cs="仿宋_GB2312"/>
                              <w:sz w:val="30"/>
                              <w:szCs w:val="30"/>
                            </w:rPr>
                            <w:instrText xml:space="preserve"> PAGE  \* MERGEFORMAT </w:instrText>
                          </w:r>
                          <w:r>
                            <w:rPr>
                              <w:rFonts w:hint="eastAsia" w:ascii="仿宋_GB2312" w:hAnsi="仿宋_GB2312" w:eastAsia="仿宋_GB2312" w:cs="仿宋_GB2312"/>
                              <w:sz w:val="30"/>
                              <w:szCs w:val="30"/>
                            </w:rPr>
                            <w:fldChar w:fldCharType="separate"/>
                          </w:r>
                          <w:r>
                            <w:rPr>
                              <w:rFonts w:hint="eastAsia" w:ascii="仿宋_GB2312" w:hAnsi="仿宋_GB2312" w:eastAsia="仿宋_GB2312" w:cs="仿宋_GB2312"/>
                              <w:sz w:val="30"/>
                              <w:szCs w:val="30"/>
                            </w:rPr>
                            <w:t>1</w:t>
                          </w:r>
                          <w:r>
                            <w:rPr>
                              <w:rFonts w:hint="eastAsia" w:ascii="仿宋_GB2312" w:hAnsi="仿宋_GB2312" w:eastAsia="仿宋_GB2312" w:cs="仿宋_GB2312"/>
                              <w:sz w:val="30"/>
                              <w:szCs w:val="30"/>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79EA5139">
                    <w:pPr>
                      <w:pStyle w:val="4"/>
                    </w:pPr>
                    <w:r>
                      <w:rPr>
                        <w:rFonts w:hint="eastAsia" w:ascii="仿宋_GB2312" w:hAnsi="仿宋_GB2312" w:eastAsia="仿宋_GB2312" w:cs="仿宋_GB2312"/>
                        <w:sz w:val="30"/>
                        <w:szCs w:val="30"/>
                      </w:rPr>
                      <w:fldChar w:fldCharType="begin"/>
                    </w:r>
                    <w:r>
                      <w:rPr>
                        <w:rFonts w:hint="eastAsia" w:ascii="仿宋_GB2312" w:hAnsi="仿宋_GB2312" w:eastAsia="仿宋_GB2312" w:cs="仿宋_GB2312"/>
                        <w:sz w:val="30"/>
                        <w:szCs w:val="30"/>
                      </w:rPr>
                      <w:instrText xml:space="preserve"> PAGE  \* MERGEFORMAT </w:instrText>
                    </w:r>
                    <w:r>
                      <w:rPr>
                        <w:rFonts w:hint="eastAsia" w:ascii="仿宋_GB2312" w:hAnsi="仿宋_GB2312" w:eastAsia="仿宋_GB2312" w:cs="仿宋_GB2312"/>
                        <w:sz w:val="30"/>
                        <w:szCs w:val="30"/>
                      </w:rPr>
                      <w:fldChar w:fldCharType="separate"/>
                    </w:r>
                    <w:r>
                      <w:rPr>
                        <w:rFonts w:hint="eastAsia" w:ascii="仿宋_GB2312" w:hAnsi="仿宋_GB2312" w:eastAsia="仿宋_GB2312" w:cs="仿宋_GB2312"/>
                        <w:sz w:val="30"/>
                        <w:szCs w:val="30"/>
                      </w:rPr>
                      <w:t>1</w:t>
                    </w:r>
                    <w:r>
                      <w:rPr>
                        <w:rFonts w:hint="eastAsia" w:ascii="仿宋_GB2312" w:hAnsi="仿宋_GB2312" w:eastAsia="仿宋_GB2312" w:cs="仿宋_GB2312"/>
                        <w:sz w:val="30"/>
                        <w:szCs w:val="30"/>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5CDC55">
    <w:pPr>
      <w:pStyle w:val="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B313C9">
    <w:pPr>
      <w:pStyle w:val="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ExNGRjYWNkMTdlYmIyMDkzNzNhN2YxNmE4ZTI1MzQifQ=="/>
  </w:docVars>
  <w:rsids>
    <w:rsidRoot w:val="021C5287"/>
    <w:rsid w:val="000012B7"/>
    <w:rsid w:val="0002431F"/>
    <w:rsid w:val="000769DA"/>
    <w:rsid w:val="000E2A62"/>
    <w:rsid w:val="001261A4"/>
    <w:rsid w:val="00176B06"/>
    <w:rsid w:val="001927CC"/>
    <w:rsid w:val="001B04E9"/>
    <w:rsid w:val="001C2DBB"/>
    <w:rsid w:val="001D1F2C"/>
    <w:rsid w:val="002759AA"/>
    <w:rsid w:val="00295E5D"/>
    <w:rsid w:val="002B6532"/>
    <w:rsid w:val="00353DE3"/>
    <w:rsid w:val="003C2CE4"/>
    <w:rsid w:val="003F14A4"/>
    <w:rsid w:val="00474093"/>
    <w:rsid w:val="0049258D"/>
    <w:rsid w:val="004A4C68"/>
    <w:rsid w:val="004B7F02"/>
    <w:rsid w:val="004C78A8"/>
    <w:rsid w:val="004E0174"/>
    <w:rsid w:val="004F1781"/>
    <w:rsid w:val="00577F95"/>
    <w:rsid w:val="00587222"/>
    <w:rsid w:val="005A427E"/>
    <w:rsid w:val="005C1E86"/>
    <w:rsid w:val="00640CDF"/>
    <w:rsid w:val="00654D0C"/>
    <w:rsid w:val="00670056"/>
    <w:rsid w:val="0069583A"/>
    <w:rsid w:val="006A1088"/>
    <w:rsid w:val="00713DE7"/>
    <w:rsid w:val="00743FC0"/>
    <w:rsid w:val="007C28F1"/>
    <w:rsid w:val="008A13EB"/>
    <w:rsid w:val="008B69DD"/>
    <w:rsid w:val="00945654"/>
    <w:rsid w:val="00994DA2"/>
    <w:rsid w:val="009F6AA8"/>
    <w:rsid w:val="00A0036B"/>
    <w:rsid w:val="00A07448"/>
    <w:rsid w:val="00A15FA2"/>
    <w:rsid w:val="00B46074"/>
    <w:rsid w:val="00BA4D32"/>
    <w:rsid w:val="00BE476D"/>
    <w:rsid w:val="00C140ED"/>
    <w:rsid w:val="00C21F7D"/>
    <w:rsid w:val="00C42CA1"/>
    <w:rsid w:val="00CE4BD6"/>
    <w:rsid w:val="00D926D6"/>
    <w:rsid w:val="00DA6211"/>
    <w:rsid w:val="00E34767"/>
    <w:rsid w:val="00E43766"/>
    <w:rsid w:val="00E85716"/>
    <w:rsid w:val="00ED390F"/>
    <w:rsid w:val="00F434F1"/>
    <w:rsid w:val="00FE6C64"/>
    <w:rsid w:val="021C5287"/>
    <w:rsid w:val="043A5387"/>
    <w:rsid w:val="044955CA"/>
    <w:rsid w:val="05300925"/>
    <w:rsid w:val="06024F2B"/>
    <w:rsid w:val="06314567"/>
    <w:rsid w:val="074958E1"/>
    <w:rsid w:val="074E2EF7"/>
    <w:rsid w:val="085070A9"/>
    <w:rsid w:val="093F4DB7"/>
    <w:rsid w:val="0979164E"/>
    <w:rsid w:val="0ADF27E4"/>
    <w:rsid w:val="0B457E8E"/>
    <w:rsid w:val="0B7D0131"/>
    <w:rsid w:val="0D046532"/>
    <w:rsid w:val="0D20390B"/>
    <w:rsid w:val="0D663F06"/>
    <w:rsid w:val="0E74581B"/>
    <w:rsid w:val="146E0DBE"/>
    <w:rsid w:val="16AD4750"/>
    <w:rsid w:val="17B12EC1"/>
    <w:rsid w:val="1BA07BC0"/>
    <w:rsid w:val="1C2541E4"/>
    <w:rsid w:val="1CAD4F99"/>
    <w:rsid w:val="1E8769C5"/>
    <w:rsid w:val="209F6845"/>
    <w:rsid w:val="20E07D0D"/>
    <w:rsid w:val="21130FE1"/>
    <w:rsid w:val="21B530D2"/>
    <w:rsid w:val="23DA5DE6"/>
    <w:rsid w:val="254C4AC2"/>
    <w:rsid w:val="26BD208B"/>
    <w:rsid w:val="274E4B21"/>
    <w:rsid w:val="27633F68"/>
    <w:rsid w:val="28502D6E"/>
    <w:rsid w:val="29916B9C"/>
    <w:rsid w:val="2A1F7A6A"/>
    <w:rsid w:val="2A5D507B"/>
    <w:rsid w:val="2B9516D3"/>
    <w:rsid w:val="2C3A1413"/>
    <w:rsid w:val="2C584947"/>
    <w:rsid w:val="2E77396C"/>
    <w:rsid w:val="2EB97376"/>
    <w:rsid w:val="306D597F"/>
    <w:rsid w:val="31921AAF"/>
    <w:rsid w:val="31A57A34"/>
    <w:rsid w:val="32B62C73"/>
    <w:rsid w:val="331C6A1E"/>
    <w:rsid w:val="33D91C17"/>
    <w:rsid w:val="34057510"/>
    <w:rsid w:val="34C46A7C"/>
    <w:rsid w:val="34D20B69"/>
    <w:rsid w:val="365C0D83"/>
    <w:rsid w:val="36A04C8D"/>
    <w:rsid w:val="376D2DA2"/>
    <w:rsid w:val="38917346"/>
    <w:rsid w:val="39243E48"/>
    <w:rsid w:val="3A921366"/>
    <w:rsid w:val="3DF162F3"/>
    <w:rsid w:val="40FB141E"/>
    <w:rsid w:val="41467158"/>
    <w:rsid w:val="45154345"/>
    <w:rsid w:val="47D60952"/>
    <w:rsid w:val="480D53BC"/>
    <w:rsid w:val="48BF23A4"/>
    <w:rsid w:val="4A9B77CE"/>
    <w:rsid w:val="4E7968B7"/>
    <w:rsid w:val="50925FA2"/>
    <w:rsid w:val="51A90A23"/>
    <w:rsid w:val="51DA0BDC"/>
    <w:rsid w:val="5227549F"/>
    <w:rsid w:val="524C6991"/>
    <w:rsid w:val="53B82DDA"/>
    <w:rsid w:val="566D3CDA"/>
    <w:rsid w:val="569C0B56"/>
    <w:rsid w:val="58174BED"/>
    <w:rsid w:val="5ABA5A4E"/>
    <w:rsid w:val="5B4F0C12"/>
    <w:rsid w:val="5C966047"/>
    <w:rsid w:val="5D447851"/>
    <w:rsid w:val="5E0D40E7"/>
    <w:rsid w:val="626228A6"/>
    <w:rsid w:val="6951757E"/>
    <w:rsid w:val="6AA91233"/>
    <w:rsid w:val="6B071044"/>
    <w:rsid w:val="6B502858"/>
    <w:rsid w:val="6C2C697E"/>
    <w:rsid w:val="6C5C0714"/>
    <w:rsid w:val="6E044187"/>
    <w:rsid w:val="6F011975"/>
    <w:rsid w:val="6FDB2297"/>
    <w:rsid w:val="78192CA5"/>
    <w:rsid w:val="7C9A0DE4"/>
    <w:rsid w:val="7CFB7AD5"/>
    <w:rsid w:val="7F3E3ECE"/>
    <w:rsid w:val="7FF302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unhideWhenUsed="0" w:uiPriority="0" w:semiHidden="0" w:name="HTML Preformatted"/>
    <w:lsdException w:qFormat="1"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1"/>
    <w:basedOn w:val="1"/>
    <w:link w:val="21"/>
    <w:autoRedefine/>
    <w:qFormat/>
    <w:uiPriority w:val="9"/>
    <w:pPr>
      <w:widowControl/>
      <w:shd w:val="clear" w:color="auto" w:fill="FFFFFF"/>
      <w:spacing w:line="900" w:lineRule="atLeast"/>
      <w:jc w:val="center"/>
      <w:outlineLvl w:val="0"/>
    </w:pPr>
    <w:rPr>
      <w:rFonts w:ascii="方正小标宋简体" w:hAnsi="宋体" w:eastAsia="方正小标宋简体" w:cs="Helvetica"/>
      <w:b/>
      <w:bCs/>
      <w:color w:val="262626"/>
      <w:kern w:val="36"/>
      <w:sz w:val="44"/>
      <w:szCs w:val="44"/>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3">
    <w:name w:val="Balloon Text"/>
    <w:basedOn w:val="1"/>
    <w:link w:val="20"/>
    <w:autoRedefine/>
    <w:qFormat/>
    <w:uiPriority w:val="0"/>
    <w:rPr>
      <w:sz w:val="18"/>
      <w:szCs w:val="18"/>
    </w:rPr>
  </w:style>
  <w:style w:type="paragraph" w:styleId="4">
    <w:name w:val="footer"/>
    <w:basedOn w:val="1"/>
    <w:link w:val="19"/>
    <w:autoRedefine/>
    <w:qFormat/>
    <w:uiPriority w:val="0"/>
    <w:pPr>
      <w:tabs>
        <w:tab w:val="center" w:pos="4153"/>
        <w:tab w:val="right" w:pos="8306"/>
      </w:tabs>
      <w:snapToGrid w:val="0"/>
      <w:jc w:val="left"/>
    </w:pPr>
    <w:rPr>
      <w:sz w:val="18"/>
      <w:szCs w:val="18"/>
    </w:rPr>
  </w:style>
  <w:style w:type="paragraph" w:styleId="5">
    <w:name w:val="header"/>
    <w:basedOn w:val="1"/>
    <w:link w:val="18"/>
    <w:autoRedefine/>
    <w:qFormat/>
    <w:uiPriority w:val="0"/>
    <w:pPr>
      <w:pBdr>
        <w:bottom w:val="single" w:color="auto" w:sz="6" w:space="1"/>
      </w:pBdr>
      <w:tabs>
        <w:tab w:val="center" w:pos="4153"/>
        <w:tab w:val="right" w:pos="8306"/>
      </w:tabs>
      <w:snapToGrid w:val="0"/>
      <w:jc w:val="center"/>
    </w:pPr>
    <w:rPr>
      <w:sz w:val="18"/>
      <w:szCs w:val="18"/>
    </w:rPr>
  </w:style>
  <w:style w:type="paragraph" w:styleId="6">
    <w:name w:val="Normal (Web)"/>
    <w:basedOn w:val="1"/>
    <w:autoRedefine/>
    <w:qFormat/>
    <w:uiPriority w:val="99"/>
    <w:pPr>
      <w:spacing w:beforeAutospacing="1" w:afterAutospacing="1"/>
      <w:jc w:val="left"/>
    </w:pPr>
    <w:rPr>
      <w:kern w:val="0"/>
      <w:sz w:val="24"/>
    </w:rPr>
  </w:style>
  <w:style w:type="character" w:styleId="9">
    <w:name w:val="Strong"/>
    <w:basedOn w:val="8"/>
    <w:autoRedefine/>
    <w:qFormat/>
    <w:uiPriority w:val="0"/>
    <w:rPr>
      <w:b/>
      <w:bCs/>
    </w:rPr>
  </w:style>
  <w:style w:type="character" w:styleId="10">
    <w:name w:val="FollowedHyperlink"/>
    <w:basedOn w:val="8"/>
    <w:autoRedefine/>
    <w:qFormat/>
    <w:uiPriority w:val="0"/>
    <w:rPr>
      <w:color w:val="262626"/>
      <w:u w:val="none"/>
    </w:rPr>
  </w:style>
  <w:style w:type="character" w:styleId="11">
    <w:name w:val="HTML Definition"/>
    <w:basedOn w:val="8"/>
    <w:autoRedefine/>
    <w:qFormat/>
    <w:uiPriority w:val="0"/>
    <w:rPr>
      <w:i/>
      <w:iCs/>
    </w:rPr>
  </w:style>
  <w:style w:type="character" w:styleId="12">
    <w:name w:val="Hyperlink"/>
    <w:basedOn w:val="8"/>
    <w:autoRedefine/>
    <w:qFormat/>
    <w:uiPriority w:val="0"/>
    <w:rPr>
      <w:color w:val="262626"/>
      <w:u w:val="none"/>
    </w:rPr>
  </w:style>
  <w:style w:type="character" w:styleId="13">
    <w:name w:val="HTML Code"/>
    <w:basedOn w:val="8"/>
    <w:autoRedefine/>
    <w:qFormat/>
    <w:uiPriority w:val="0"/>
    <w:rPr>
      <w:rFonts w:hint="default" w:ascii="Consolas" w:hAnsi="Consolas" w:eastAsia="Consolas" w:cs="Consolas"/>
      <w:color w:val="C7254E"/>
      <w:sz w:val="21"/>
      <w:szCs w:val="21"/>
      <w:shd w:val="clear" w:color="auto" w:fill="F9F2F4"/>
    </w:rPr>
  </w:style>
  <w:style w:type="character" w:styleId="14">
    <w:name w:val="HTML Keyboard"/>
    <w:basedOn w:val="8"/>
    <w:autoRedefine/>
    <w:qFormat/>
    <w:uiPriority w:val="0"/>
    <w:rPr>
      <w:rFonts w:ascii="Consolas" w:hAnsi="Consolas" w:eastAsia="Consolas" w:cs="Consolas"/>
      <w:color w:val="FFFFFF"/>
      <w:sz w:val="21"/>
      <w:szCs w:val="21"/>
      <w:shd w:val="clear" w:color="auto" w:fill="333333"/>
    </w:rPr>
  </w:style>
  <w:style w:type="character" w:styleId="15">
    <w:name w:val="HTML Sample"/>
    <w:basedOn w:val="8"/>
    <w:autoRedefine/>
    <w:qFormat/>
    <w:uiPriority w:val="0"/>
    <w:rPr>
      <w:rFonts w:hint="default" w:ascii="Consolas" w:hAnsi="Consolas" w:eastAsia="Consolas" w:cs="Consolas"/>
      <w:sz w:val="21"/>
      <w:szCs w:val="21"/>
    </w:rPr>
  </w:style>
  <w:style w:type="character" w:customStyle="1" w:styleId="16">
    <w:name w:val="news_date"/>
    <w:basedOn w:val="8"/>
    <w:autoRedefine/>
    <w:qFormat/>
    <w:uiPriority w:val="0"/>
    <w:rPr>
      <w:color w:val="9D9D9D"/>
    </w:rPr>
  </w:style>
  <w:style w:type="character" w:customStyle="1" w:styleId="17">
    <w:name w:val="more_text"/>
    <w:basedOn w:val="8"/>
    <w:autoRedefine/>
    <w:qFormat/>
    <w:uiPriority w:val="0"/>
    <w:rPr>
      <w:rFonts w:ascii="微软雅黑" w:hAnsi="微软雅黑" w:eastAsia="微软雅黑" w:cs="微软雅黑"/>
      <w:b/>
      <w:bCs/>
      <w:color w:val="FFFFFF"/>
      <w:sz w:val="24"/>
      <w:szCs w:val="24"/>
    </w:rPr>
  </w:style>
  <w:style w:type="character" w:customStyle="1" w:styleId="18">
    <w:name w:val="页眉 字符"/>
    <w:basedOn w:val="8"/>
    <w:link w:val="5"/>
    <w:autoRedefine/>
    <w:qFormat/>
    <w:uiPriority w:val="0"/>
    <w:rPr>
      <w:rFonts w:ascii="Calibri" w:hAnsi="Calibri"/>
      <w:kern w:val="2"/>
      <w:sz w:val="18"/>
      <w:szCs w:val="18"/>
    </w:rPr>
  </w:style>
  <w:style w:type="character" w:customStyle="1" w:styleId="19">
    <w:name w:val="页脚 字符"/>
    <w:basedOn w:val="8"/>
    <w:link w:val="4"/>
    <w:autoRedefine/>
    <w:qFormat/>
    <w:uiPriority w:val="0"/>
    <w:rPr>
      <w:rFonts w:ascii="Calibri" w:hAnsi="Calibri"/>
      <w:kern w:val="2"/>
      <w:sz w:val="18"/>
      <w:szCs w:val="18"/>
    </w:rPr>
  </w:style>
  <w:style w:type="character" w:customStyle="1" w:styleId="20">
    <w:name w:val="批注框文本 字符"/>
    <w:basedOn w:val="8"/>
    <w:link w:val="3"/>
    <w:autoRedefine/>
    <w:qFormat/>
    <w:uiPriority w:val="0"/>
    <w:rPr>
      <w:rFonts w:ascii="Calibri" w:hAnsi="Calibri"/>
      <w:kern w:val="2"/>
      <w:sz w:val="18"/>
      <w:szCs w:val="18"/>
    </w:rPr>
  </w:style>
  <w:style w:type="character" w:customStyle="1" w:styleId="21">
    <w:name w:val="标题 1 字符"/>
    <w:basedOn w:val="8"/>
    <w:link w:val="2"/>
    <w:autoRedefine/>
    <w:qFormat/>
    <w:uiPriority w:val="9"/>
    <w:rPr>
      <w:rFonts w:ascii="方正小标宋简体" w:hAnsi="宋体" w:eastAsia="方正小标宋简体" w:cs="Helvetica"/>
      <w:b/>
      <w:bCs/>
      <w:color w:val="262626"/>
      <w:kern w:val="36"/>
      <w:sz w:val="44"/>
      <w:szCs w:val="44"/>
      <w:shd w:val="clear" w:color="auto" w:fill="FFFFFF"/>
    </w:rPr>
  </w:style>
  <w:style w:type="paragraph" w:styleId="22">
    <w:name w:val="List Paragraph"/>
    <w:basedOn w:val="1"/>
    <w:autoRedefine/>
    <w:unhideWhenUsed/>
    <w:qFormat/>
    <w:uiPriority w:val="99"/>
    <w:pPr>
      <w:ind w:firstLine="420" w:firstLineChars="200"/>
    </w:pPr>
  </w:style>
  <w:style w:type="character" w:customStyle="1" w:styleId="23">
    <w:name w:val="未处理的提及1"/>
    <w:basedOn w:val="8"/>
    <w:autoRedefine/>
    <w:semiHidden/>
    <w:unhideWhenUsed/>
    <w:qFormat/>
    <w:uiPriority w:val="99"/>
    <w:rPr>
      <w:color w:val="605E5C"/>
      <w:shd w:val="clear" w:color="auto" w:fill="E1DFDD"/>
    </w:rPr>
  </w:style>
  <w:style w:type="character" w:customStyle="1" w:styleId="24">
    <w:name w:val="Unresolved Mention"/>
    <w:basedOn w:val="8"/>
    <w:semiHidden/>
    <w:unhideWhenUsed/>
    <w:qFormat/>
    <w:uiPriority w:val="99"/>
    <w:rPr>
      <w:color w:val="605E5C"/>
      <w:shd w:val="clear" w:color="auto" w:fill="E1DFDD"/>
    </w:rPr>
  </w:style>
  <w:style w:type="paragraph" w:customStyle="1" w:styleId="25">
    <w:name w:val="_Style 16"/>
    <w:basedOn w:val="1"/>
    <w:qFormat/>
    <w:uiPriority w:val="1"/>
    <w:pPr>
      <w:ind w:left="471" w:firstLine="640"/>
    </w:pPr>
    <w:rPr>
      <w:rFonts w:ascii="仿宋" w:hAnsi="仿宋" w:eastAsia="仿宋" w:cs="仿宋"/>
      <w:lang w:val="zh-CN" w:eastAsia="zh-CN" w:bidi="zh-CN"/>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8</Pages>
  <Words>2912</Words>
  <Characters>3062</Characters>
  <Lines>20</Lines>
  <Paragraphs>5</Paragraphs>
  <TotalTime>23</TotalTime>
  <ScaleCrop>false</ScaleCrop>
  <LinksUpToDate>false</LinksUpToDate>
  <CharactersWithSpaces>3078</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2023-04-11T08:32:00Z</dcterms:created>
  <dc:creator>一腔孤勇_</dc:creator>
  <cp:lastModifiedBy>菄菄</cp:lastModifiedBy>
  <cp:lastPrinted>2025-03-17T06:54:00Z</cp:lastPrinted>
  <dcterms:modified xsi:type="dcterms:W3CDTF">2026-04-14T01:04:15Z</dcterms:modified>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A5AD2552C60F44969BAC71B8D86FAFCC_13</vt:lpwstr>
  </property>
  <property fmtid="{D5CDD505-2E9C-101B-9397-08002B2CF9AE}" pid="4" name="commondata">
    <vt:lpwstr>eyJoZGlkIjoiMmM1OTJiNGJlZGZlOTM2NzMxNDA2YTVhNmQwYTRkZWMifQ==</vt:lpwstr>
  </property>
  <property fmtid="{D5CDD505-2E9C-101B-9397-08002B2CF9AE}" pid="5" name="KSOTemplateDocerSaveRecord">
    <vt:lpwstr>eyJoZGlkIjoiMmFhZDhlNDVjNTcwOGE3N2EzZDgyZjNkYjI0OWJiYzIiLCJ1c2VySWQiOiIxMTk4MjM5OTIxIn0=</vt:lpwstr>
  </property>
</Properties>
</file>