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723CF">
      <w:pPr>
        <w:pStyle w:val="5"/>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黑体" w:hAnsi="黑体" w:eastAsia="黑体" w:cs="黑体"/>
          <w:b w:val="0"/>
          <w:bCs w:val="0"/>
          <w:sz w:val="44"/>
          <w:szCs w:val="44"/>
          <w:u w:val="none"/>
          <w:lang w:val="en-US" w:eastAsia="zh-CN"/>
        </w:rPr>
      </w:pPr>
      <w:bookmarkStart w:id="2" w:name="_GoBack"/>
      <w:bookmarkEnd w:id="2"/>
      <w:r>
        <w:rPr>
          <w:rFonts w:hint="eastAsia" w:ascii="黑体" w:hAnsi="黑体" w:eastAsia="黑体" w:cs="黑体"/>
          <w:b w:val="0"/>
          <w:bCs w:val="0"/>
          <w:sz w:val="44"/>
          <w:szCs w:val="44"/>
          <w:u w:val="none"/>
          <w:lang w:val="en-US" w:eastAsia="zh-CN"/>
        </w:rPr>
        <w:t>福建师范大学协和学院货物采购</w:t>
      </w:r>
    </w:p>
    <w:p w14:paraId="6D12921D">
      <w:pPr>
        <w:pStyle w:val="5"/>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黑体" w:hAnsi="黑体" w:eastAsia="黑体" w:cs="黑体"/>
          <w:b w:val="0"/>
          <w:bCs w:val="0"/>
          <w:sz w:val="44"/>
          <w:szCs w:val="44"/>
          <w:u w:val="none"/>
          <w:lang w:val="en-US" w:eastAsia="zh-CN"/>
        </w:rPr>
      </w:pPr>
      <w:r>
        <w:rPr>
          <w:rFonts w:hint="eastAsia" w:ascii="黑体" w:hAnsi="黑体" w:eastAsia="黑体" w:cs="黑体"/>
          <w:b w:val="0"/>
          <w:bCs w:val="0"/>
          <w:sz w:val="44"/>
          <w:szCs w:val="44"/>
          <w:u w:val="none"/>
          <w:lang w:val="en-US" w:eastAsia="zh-CN"/>
        </w:rPr>
        <w:t>需求报送单</w:t>
      </w:r>
    </w:p>
    <w:p w14:paraId="5420C677">
      <w:pPr>
        <w:pStyle w:val="5"/>
        <w:keepNext w:val="0"/>
        <w:keepLines w:val="0"/>
        <w:pageBreakBefore w:val="0"/>
        <w:widowControl w:val="0"/>
        <w:kinsoku/>
        <w:wordWrap/>
        <w:overflowPunct/>
        <w:topLinePunct w:val="0"/>
        <w:autoSpaceDE/>
        <w:autoSpaceDN/>
        <w:bidi w:val="0"/>
        <w:adjustRightInd/>
        <w:snapToGrid/>
        <w:spacing w:after="313" w:afterLines="100" w:line="600" w:lineRule="exact"/>
        <w:ind w:left="0" w:leftChars="0" w:firstLine="0" w:firstLineChars="0"/>
        <w:jc w:val="center"/>
        <w:textAlignment w:val="auto"/>
        <w:rPr>
          <w:rFonts w:hint="eastAsia" w:ascii="黑体" w:hAnsi="黑体" w:eastAsia="黑体" w:cs="黑体"/>
          <w:b w:val="0"/>
          <w:bCs w:val="0"/>
          <w:sz w:val="44"/>
          <w:szCs w:val="44"/>
          <w:u w:val="none"/>
          <w:lang w:val="en-US" w:eastAsia="zh-CN"/>
        </w:rPr>
      </w:pPr>
      <w:r>
        <w:rPr>
          <w:rFonts w:hint="eastAsia" w:ascii="仿宋_GB2312" w:hAnsi="仿宋_GB2312" w:eastAsia="仿宋_GB2312" w:cs="仿宋_GB2312"/>
          <w:b w:val="0"/>
          <w:bCs w:val="0"/>
          <w:sz w:val="26"/>
          <w:szCs w:val="26"/>
          <w:u w:val="none"/>
          <w:lang w:val="en-US" w:eastAsia="zh-CN"/>
        </w:rPr>
        <w:t>（公开询价采购方式填报此单）</w:t>
      </w:r>
    </w:p>
    <w:p w14:paraId="47C76AF1">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left"/>
        <w:textAlignment w:val="auto"/>
        <w:rPr>
          <w:rFonts w:hint="default" w:ascii="仿宋_GB2312" w:hAnsi="仿宋_GB2312" w:eastAsia="仿宋_GB2312" w:cs="仿宋_GB2312"/>
          <w:b w:val="0"/>
          <w:bCs w:val="0"/>
          <w:sz w:val="26"/>
          <w:szCs w:val="26"/>
          <w:u w:val="none"/>
          <w:lang w:val="en-US" w:eastAsia="zh-CN"/>
        </w:rPr>
      </w:pPr>
      <w:r>
        <w:rPr>
          <w:rFonts w:hint="eastAsia" w:ascii="仿宋_GB2312" w:hAnsi="仿宋_GB2312" w:eastAsia="仿宋_GB2312" w:cs="仿宋_GB2312"/>
          <w:b w:val="0"/>
          <w:bCs w:val="0"/>
          <w:sz w:val="26"/>
          <w:szCs w:val="26"/>
          <w:u w:val="none"/>
          <w:lang w:val="en-US" w:eastAsia="zh-CN"/>
        </w:rPr>
        <w:t>采购单位（盖章）： 部/系(院)</w:t>
      </w:r>
    </w:p>
    <w:tbl>
      <w:tblPr>
        <w:tblStyle w:val="11"/>
        <w:tblW w:w="105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3378"/>
        <w:gridCol w:w="1460"/>
        <w:gridCol w:w="3948"/>
      </w:tblGrid>
      <w:tr w14:paraId="665E6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540020BA">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项目名称</w:t>
            </w:r>
          </w:p>
        </w:tc>
        <w:tc>
          <w:tcPr>
            <w:tcW w:w="8786" w:type="dxa"/>
            <w:gridSpan w:val="3"/>
            <w:vAlign w:val="center"/>
          </w:tcPr>
          <w:p w14:paraId="47BA3A42">
            <w:pPr>
              <w:pStyle w:val="5"/>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r>
      <w:tr w14:paraId="11A7C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5EB2CB5C">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default" w:ascii="仿宋_GB2312" w:hAnsi="仿宋_GB2312" w:eastAsia="仿宋_GB2312" w:cs="仿宋_GB2312"/>
                <w:b/>
                <w:bCs/>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采购方式</w:t>
            </w:r>
          </w:p>
        </w:tc>
        <w:tc>
          <w:tcPr>
            <w:tcW w:w="3378" w:type="dxa"/>
            <w:vAlign w:val="center"/>
          </w:tcPr>
          <w:p w14:paraId="2CC43661">
            <w:pPr>
              <w:pStyle w:val="5"/>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sz w:val="26"/>
                <w:szCs w:val="26"/>
                <w:u w:val="none"/>
                <w:vertAlign w:val="baseline"/>
                <w:lang w:val="en-US" w:eastAsia="zh-CN"/>
              </w:rPr>
              <w:t>公开询价</w:t>
            </w:r>
          </w:p>
        </w:tc>
        <w:tc>
          <w:tcPr>
            <w:tcW w:w="1460" w:type="dxa"/>
            <w:vAlign w:val="center"/>
          </w:tcPr>
          <w:p w14:paraId="2223A38C">
            <w:pPr>
              <w:pStyle w:val="5"/>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立项时间</w:t>
            </w:r>
          </w:p>
        </w:tc>
        <w:tc>
          <w:tcPr>
            <w:tcW w:w="3948" w:type="dxa"/>
            <w:vAlign w:val="center"/>
          </w:tcPr>
          <w:p w14:paraId="4BBC70E1">
            <w:pPr>
              <w:pStyle w:val="5"/>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color w:val="FF0000"/>
                <w:sz w:val="18"/>
                <w:szCs w:val="18"/>
                <w:u w:val="none"/>
                <w:vertAlign w:val="baseline"/>
                <w:lang w:val="en-US" w:eastAsia="zh-CN"/>
              </w:rPr>
              <w:t>此栏填写院务会议审批立项时间（年月日），若预算金额</w:t>
            </w:r>
            <w:r>
              <w:rPr>
                <w:rFonts w:hint="eastAsia" w:ascii="微软雅黑" w:hAnsi="微软雅黑" w:eastAsia="微软雅黑" w:cs="微软雅黑"/>
                <w:b w:val="0"/>
                <w:bCs w:val="0"/>
                <w:color w:val="FF0000"/>
                <w:sz w:val="18"/>
                <w:szCs w:val="18"/>
                <w:u w:val="none"/>
                <w:vertAlign w:val="baseline"/>
                <w:lang w:val="en-US" w:eastAsia="zh-CN"/>
              </w:rPr>
              <w:t>&lt;</w:t>
            </w:r>
            <w:r>
              <w:rPr>
                <w:rFonts w:hint="eastAsia" w:ascii="仿宋_GB2312" w:hAnsi="仿宋_GB2312" w:eastAsia="仿宋_GB2312" w:cs="仿宋_GB2312"/>
                <w:b w:val="0"/>
                <w:bCs w:val="0"/>
                <w:color w:val="FF0000"/>
                <w:sz w:val="18"/>
                <w:szCs w:val="18"/>
                <w:u w:val="none"/>
                <w:vertAlign w:val="baseline"/>
                <w:lang w:val="en-US" w:eastAsia="zh-CN"/>
              </w:rPr>
              <w:t>5万元，填写采购会审批时间</w:t>
            </w:r>
          </w:p>
        </w:tc>
      </w:tr>
      <w:tr w14:paraId="5CA22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114AEF3C">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仿宋_GB2312" w:hAnsi="仿宋_GB2312" w:eastAsia="仿宋_GB2312" w:cs="仿宋_GB2312"/>
                <w:b/>
                <w:bCs/>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评标方法</w:t>
            </w:r>
          </w:p>
        </w:tc>
        <w:tc>
          <w:tcPr>
            <w:tcW w:w="3378" w:type="dxa"/>
            <w:vAlign w:val="center"/>
          </w:tcPr>
          <w:p w14:paraId="7D02ADF4">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sz w:val="26"/>
                <w:szCs w:val="26"/>
                <w:u w:val="none"/>
                <w:vertAlign w:val="baseline"/>
                <w:lang w:val="en-US" w:eastAsia="zh-CN"/>
              </w:rPr>
              <w:t>最低评标价法</w:t>
            </w:r>
          </w:p>
        </w:tc>
        <w:tc>
          <w:tcPr>
            <w:tcW w:w="1460" w:type="dxa"/>
            <w:vAlign w:val="center"/>
          </w:tcPr>
          <w:p w14:paraId="5A5C5351">
            <w:pPr>
              <w:pStyle w:val="5"/>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bCs/>
                <w:sz w:val="26"/>
                <w:szCs w:val="26"/>
                <w:u w:val="none"/>
                <w:vertAlign w:val="baseline"/>
                <w:lang w:val="en-US" w:eastAsia="zh-CN"/>
              </w:rPr>
            </w:pPr>
            <w:r>
              <w:rPr>
                <w:rFonts w:hint="eastAsia" w:ascii="仿宋_GB2312" w:hAnsi="仿宋_GB2312" w:eastAsia="仿宋_GB2312" w:cs="仿宋_GB2312"/>
                <w:b/>
                <w:bCs/>
                <w:sz w:val="22"/>
                <w:szCs w:val="22"/>
                <w:u w:val="none"/>
                <w:vertAlign w:val="baseline"/>
                <w:lang w:val="en-US" w:eastAsia="zh-CN"/>
              </w:rPr>
              <w:t>专门面向中小微企业</w:t>
            </w:r>
          </w:p>
        </w:tc>
        <w:tc>
          <w:tcPr>
            <w:tcW w:w="3948" w:type="dxa"/>
            <w:vAlign w:val="center"/>
          </w:tcPr>
          <w:p w14:paraId="3BFF9762">
            <w:pPr>
              <w:pStyle w:val="5"/>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sz w:val="26"/>
                <w:szCs w:val="26"/>
                <w:u w:val="none"/>
                <w:vertAlign w:val="baseline"/>
                <w:lang w:val="en-US" w:eastAsia="zh-CN"/>
              </w:rPr>
              <w:t>是/否</w:t>
            </w:r>
          </w:p>
        </w:tc>
      </w:tr>
      <w:tr w14:paraId="779DC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19940F36">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经办人</w:t>
            </w:r>
          </w:p>
        </w:tc>
        <w:tc>
          <w:tcPr>
            <w:tcW w:w="3378" w:type="dxa"/>
            <w:vAlign w:val="center"/>
          </w:tcPr>
          <w:p w14:paraId="05917AD8">
            <w:pPr>
              <w:pStyle w:val="5"/>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c>
          <w:tcPr>
            <w:tcW w:w="1460" w:type="dxa"/>
            <w:vAlign w:val="center"/>
          </w:tcPr>
          <w:p w14:paraId="11EC4F37">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联系方式</w:t>
            </w:r>
          </w:p>
        </w:tc>
        <w:tc>
          <w:tcPr>
            <w:tcW w:w="3948" w:type="dxa"/>
            <w:vAlign w:val="center"/>
          </w:tcPr>
          <w:p w14:paraId="3EAEA67F">
            <w:pPr>
              <w:pStyle w:val="5"/>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r>
      <w:tr w14:paraId="795A8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1" w:type="dxa"/>
            <w:gridSpan w:val="4"/>
            <w:vAlign w:val="center"/>
          </w:tcPr>
          <w:p w14:paraId="57BBEF08">
            <w:pPr>
              <w:pStyle w:val="5"/>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黑体" w:hAnsi="黑体" w:eastAsia="黑体" w:cs="黑体"/>
                <w:b w:val="0"/>
                <w:bCs w:val="0"/>
                <w:sz w:val="26"/>
                <w:szCs w:val="26"/>
                <w:u w:val="none"/>
                <w:vertAlign w:val="baseline"/>
                <w:lang w:val="en-US" w:eastAsia="zh-CN"/>
              </w:rPr>
              <w:t>采购需求（方案）</w:t>
            </w:r>
          </w:p>
        </w:tc>
      </w:tr>
      <w:tr w14:paraId="5DA78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1" w:type="dxa"/>
            <w:gridSpan w:val="4"/>
            <w:vAlign w:val="center"/>
          </w:tcPr>
          <w:p w14:paraId="62D45C3C">
            <w:pPr>
              <w:spacing w:line="360" w:lineRule="auto"/>
              <w:jc w:val="center"/>
              <w:rPr>
                <w:rFonts w:ascii="宋体" w:hAnsi="宋体" w:cs="宋体"/>
                <w:b/>
                <w:bCs/>
                <w:color w:val="FF0000"/>
                <w:sz w:val="24"/>
              </w:rPr>
            </w:pPr>
            <w:r>
              <w:rPr>
                <w:rFonts w:hint="eastAsia" w:ascii="宋体" w:hAnsi="宋体" w:cs="宋体"/>
                <w:b/>
                <w:bCs/>
                <w:color w:val="FF0000"/>
                <w:sz w:val="24"/>
              </w:rPr>
              <w:t>（请在制作正式采购方案时删除本模板中所有红色</w:t>
            </w:r>
            <w:r>
              <w:rPr>
                <w:rFonts w:hint="eastAsia" w:ascii="宋体" w:hAnsi="宋体" w:cs="宋体"/>
                <w:b/>
                <w:bCs/>
                <w:color w:val="FF0000"/>
                <w:sz w:val="24"/>
                <w:lang w:val="en-US" w:eastAsia="zh-CN"/>
              </w:rPr>
              <w:t>文字，并根据项目实际情况修改标黄</w:t>
            </w:r>
            <w:r>
              <w:rPr>
                <w:rFonts w:hint="eastAsia" w:ascii="宋体" w:hAnsi="宋体" w:cs="宋体"/>
                <w:b/>
                <w:bCs/>
                <w:color w:val="FF0000"/>
                <w:sz w:val="24"/>
                <w:highlight w:val="none"/>
                <w:lang w:val="en-US" w:eastAsia="zh-CN"/>
              </w:rPr>
              <w:t>内容</w:t>
            </w:r>
            <w:r>
              <w:rPr>
                <w:rFonts w:hint="eastAsia" w:ascii="宋体" w:hAnsi="宋体" w:cs="宋体"/>
                <w:b/>
                <w:bCs/>
                <w:color w:val="FF0000"/>
                <w:sz w:val="24"/>
              </w:rPr>
              <w:t>）</w:t>
            </w:r>
          </w:p>
          <w:p w14:paraId="2B11C26D">
            <w:pPr>
              <w:spacing w:line="360" w:lineRule="auto"/>
              <w:jc w:val="center"/>
              <w:rPr>
                <w:rFonts w:ascii="宋体" w:hAnsi="宋体" w:cs="宋体"/>
                <w:b/>
                <w:bCs/>
                <w:color w:val="FF0000"/>
                <w:sz w:val="24"/>
              </w:rPr>
            </w:pPr>
          </w:p>
          <w:p w14:paraId="785D1A0A">
            <w:pPr>
              <w:keepNext w:val="0"/>
              <w:keepLines w:val="0"/>
              <w:pageBreakBefore w:val="0"/>
              <w:numPr>
                <w:ilvl w:val="0"/>
                <w:numId w:val="1"/>
              </w:numPr>
              <w:kinsoku/>
              <w:wordWrap/>
              <w:overflowPunct/>
              <w:topLinePunct w:val="0"/>
              <w:autoSpaceDE/>
              <w:autoSpaceDN/>
              <w:bidi w:val="0"/>
              <w:adjustRightInd/>
              <w:spacing w:line="460" w:lineRule="exact"/>
              <w:ind w:firstLine="522" w:firstLineChars="200"/>
              <w:jc w:val="left"/>
              <w:rPr>
                <w:rFonts w:hint="eastAsia" w:ascii="黑体" w:hAnsi="黑体" w:eastAsia="黑体" w:cs="黑体"/>
                <w:b/>
                <w:sz w:val="26"/>
                <w:szCs w:val="26"/>
              </w:rPr>
            </w:pPr>
            <w:r>
              <w:rPr>
                <w:rFonts w:hint="eastAsia" w:ascii="黑体" w:hAnsi="黑体" w:eastAsia="黑体" w:cs="黑体"/>
                <w:b/>
                <w:sz w:val="26"/>
                <w:szCs w:val="26"/>
                <w:lang w:val="en-US" w:eastAsia="zh-CN"/>
              </w:rPr>
              <w:t>采购</w:t>
            </w:r>
            <w:r>
              <w:rPr>
                <w:rFonts w:hint="eastAsia" w:ascii="黑体" w:hAnsi="黑体" w:eastAsia="黑体" w:cs="黑体"/>
                <w:b/>
                <w:sz w:val="26"/>
                <w:szCs w:val="26"/>
              </w:rPr>
              <w:t>一览表</w:t>
            </w:r>
          </w:p>
          <w:p w14:paraId="434A1640">
            <w:pPr>
              <w:pStyle w:val="2"/>
              <w:spacing w:line="360" w:lineRule="auto"/>
              <w:ind w:firstLine="6746" w:firstLineChars="2400"/>
              <w:rPr>
                <w:rFonts w:hint="eastAsia"/>
              </w:rPr>
            </w:pPr>
            <w:r>
              <w:rPr>
                <w:rFonts w:hint="eastAsia" w:ascii="宋体" w:hAnsi="宋体" w:cs="宋体"/>
                <w:b/>
                <w:szCs w:val="21"/>
              </w:rPr>
              <w:t xml:space="preserve"> </w:t>
            </w:r>
            <w:r>
              <w:rPr>
                <w:rFonts w:hint="eastAsia" w:ascii="宋体" w:hAnsi="宋体" w:eastAsia="宋体" w:cs="宋体"/>
                <w:b/>
                <w:color w:val="auto"/>
                <w:sz w:val="26"/>
                <w:szCs w:val="26"/>
              </w:rPr>
              <w:t xml:space="preserve">货币单位：人民币元    </w:t>
            </w:r>
            <w:r>
              <w:rPr>
                <w:rFonts w:hint="eastAsia" w:ascii="宋体" w:hAnsi="宋体" w:eastAsia="宋体" w:cs="宋体"/>
                <w:b/>
                <w:color w:val="auto"/>
                <w:szCs w:val="21"/>
              </w:rPr>
              <w:t xml:space="preserve">  </w:t>
            </w:r>
          </w:p>
          <w:tbl>
            <w:tblPr>
              <w:tblStyle w:val="1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997"/>
              <w:gridCol w:w="3580"/>
              <w:gridCol w:w="994"/>
              <w:gridCol w:w="994"/>
              <w:gridCol w:w="1285"/>
              <w:gridCol w:w="1450"/>
            </w:tblGrid>
            <w:tr w14:paraId="63907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502" w:type="pct"/>
                  <w:shd w:val="clear" w:color="auto" w:fill="auto"/>
                  <w:vAlign w:val="center"/>
                </w:tcPr>
                <w:p w14:paraId="7BAE646E">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kern w:val="0"/>
                      <w:sz w:val="26"/>
                      <w:szCs w:val="26"/>
                    </w:rPr>
                  </w:pPr>
                  <w:r>
                    <w:rPr>
                      <w:rFonts w:hint="eastAsia" w:ascii="仿宋_GB2312" w:hAnsi="仿宋_GB2312" w:eastAsia="仿宋_GB2312" w:cs="仿宋_GB2312"/>
                      <w:b/>
                      <w:bCs w:val="0"/>
                      <w:color w:val="000000"/>
                      <w:kern w:val="0"/>
                      <w:sz w:val="26"/>
                      <w:szCs w:val="26"/>
                    </w:rPr>
                    <w:t>合同包</w:t>
                  </w:r>
                </w:p>
              </w:tc>
              <w:tc>
                <w:tcPr>
                  <w:tcW w:w="482" w:type="pct"/>
                  <w:shd w:val="clear" w:color="auto" w:fill="auto"/>
                  <w:vAlign w:val="center"/>
                </w:tcPr>
                <w:p w14:paraId="6E82F92C">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sz w:val="26"/>
                      <w:szCs w:val="26"/>
                    </w:rPr>
                  </w:pPr>
                  <w:r>
                    <w:rPr>
                      <w:rFonts w:hint="eastAsia" w:ascii="仿宋_GB2312" w:hAnsi="仿宋_GB2312" w:eastAsia="仿宋_GB2312" w:cs="仿宋_GB2312"/>
                      <w:b/>
                      <w:bCs w:val="0"/>
                      <w:color w:val="000000"/>
                      <w:sz w:val="26"/>
                      <w:szCs w:val="26"/>
                    </w:rPr>
                    <w:t>品目号</w:t>
                  </w:r>
                </w:p>
              </w:tc>
              <w:tc>
                <w:tcPr>
                  <w:tcW w:w="1731" w:type="pct"/>
                  <w:shd w:val="clear" w:color="auto" w:fill="auto"/>
                  <w:vAlign w:val="center"/>
                </w:tcPr>
                <w:p w14:paraId="64BBE247">
                  <w:pPr>
                    <w:keepNext w:val="0"/>
                    <w:keepLines w:val="0"/>
                    <w:pageBreakBefore w:val="0"/>
                    <w:kinsoku/>
                    <w:wordWrap/>
                    <w:overflowPunct/>
                    <w:topLinePunct w:val="0"/>
                    <w:autoSpaceDE/>
                    <w:autoSpaceDN/>
                    <w:bidi w:val="0"/>
                    <w:adjustRightInd/>
                    <w:spacing w:line="460" w:lineRule="exact"/>
                    <w:jc w:val="center"/>
                    <w:rPr>
                      <w:rFonts w:hint="default" w:ascii="仿宋_GB2312" w:hAnsi="仿宋_GB2312" w:eastAsia="仿宋_GB2312" w:cs="仿宋_GB2312"/>
                      <w:b/>
                      <w:bCs w:val="0"/>
                      <w:color w:val="000000"/>
                      <w:kern w:val="0"/>
                      <w:sz w:val="26"/>
                      <w:szCs w:val="26"/>
                      <w:lang w:val="en-US" w:eastAsia="zh-CN"/>
                    </w:rPr>
                  </w:pPr>
                  <w:r>
                    <w:rPr>
                      <w:rFonts w:hint="eastAsia" w:ascii="仿宋_GB2312" w:hAnsi="仿宋_GB2312" w:eastAsia="仿宋_GB2312" w:cs="仿宋_GB2312"/>
                      <w:b/>
                      <w:bCs w:val="0"/>
                      <w:color w:val="000000"/>
                      <w:sz w:val="26"/>
                      <w:szCs w:val="26"/>
                      <w:lang w:val="en-US" w:eastAsia="zh-CN"/>
                    </w:rPr>
                    <w:t>采购标的</w:t>
                  </w:r>
                </w:p>
              </w:tc>
              <w:tc>
                <w:tcPr>
                  <w:tcW w:w="481" w:type="pct"/>
                  <w:shd w:val="clear" w:color="auto" w:fill="auto"/>
                  <w:vAlign w:val="center"/>
                </w:tcPr>
                <w:p w14:paraId="4E8E9207">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kern w:val="0"/>
                      <w:sz w:val="26"/>
                      <w:szCs w:val="26"/>
                      <w:lang w:val="en-US" w:eastAsia="zh-CN"/>
                    </w:rPr>
                  </w:pPr>
                  <w:r>
                    <w:rPr>
                      <w:rFonts w:hint="eastAsia" w:ascii="仿宋_GB2312" w:hAnsi="仿宋_GB2312" w:eastAsia="仿宋_GB2312" w:cs="仿宋_GB2312"/>
                      <w:b/>
                      <w:bCs w:val="0"/>
                      <w:color w:val="000000"/>
                      <w:kern w:val="0"/>
                      <w:sz w:val="26"/>
                      <w:szCs w:val="26"/>
                      <w:lang w:val="en-US" w:eastAsia="zh-CN"/>
                    </w:rPr>
                    <w:t>单位</w:t>
                  </w:r>
                </w:p>
              </w:tc>
              <w:tc>
                <w:tcPr>
                  <w:tcW w:w="481" w:type="pct"/>
                  <w:shd w:val="clear" w:color="auto" w:fill="auto"/>
                  <w:vAlign w:val="center"/>
                </w:tcPr>
                <w:p w14:paraId="0939221F">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kern w:val="0"/>
                      <w:sz w:val="26"/>
                      <w:szCs w:val="26"/>
                    </w:rPr>
                  </w:pPr>
                  <w:r>
                    <w:rPr>
                      <w:rFonts w:hint="eastAsia" w:ascii="仿宋_GB2312" w:hAnsi="仿宋_GB2312" w:eastAsia="仿宋_GB2312" w:cs="仿宋_GB2312"/>
                      <w:b/>
                      <w:bCs w:val="0"/>
                      <w:color w:val="000000"/>
                      <w:kern w:val="0"/>
                      <w:sz w:val="26"/>
                      <w:szCs w:val="26"/>
                    </w:rPr>
                    <w:t>数量</w:t>
                  </w:r>
                </w:p>
              </w:tc>
              <w:tc>
                <w:tcPr>
                  <w:tcW w:w="621" w:type="pct"/>
                  <w:shd w:val="clear" w:color="auto" w:fill="auto"/>
                  <w:vAlign w:val="center"/>
                </w:tcPr>
                <w:p w14:paraId="658ABE76">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sz w:val="26"/>
                      <w:szCs w:val="26"/>
                    </w:rPr>
                  </w:pPr>
                  <w:r>
                    <w:rPr>
                      <w:rFonts w:hint="eastAsia" w:ascii="仿宋_GB2312" w:hAnsi="仿宋_GB2312" w:eastAsia="仿宋_GB2312" w:cs="仿宋_GB2312"/>
                      <w:b/>
                      <w:bCs w:val="0"/>
                      <w:color w:val="000000"/>
                      <w:sz w:val="26"/>
                      <w:szCs w:val="26"/>
                      <w:lang w:val="en-US" w:eastAsia="zh-CN"/>
                    </w:rPr>
                    <w:t>品目号预算</w:t>
                  </w:r>
                  <w:r>
                    <w:rPr>
                      <w:rFonts w:hint="eastAsia" w:ascii="仿宋_GB2312" w:hAnsi="仿宋_GB2312" w:eastAsia="仿宋_GB2312" w:cs="仿宋_GB2312"/>
                      <w:b/>
                      <w:bCs w:val="0"/>
                      <w:color w:val="000000"/>
                      <w:sz w:val="26"/>
                      <w:szCs w:val="26"/>
                    </w:rPr>
                    <w:t>单价</w:t>
                  </w:r>
                </w:p>
                <w:p w14:paraId="5D9A2A1C">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sz w:val="26"/>
                      <w:szCs w:val="26"/>
                    </w:rPr>
                  </w:pPr>
                  <w:r>
                    <w:rPr>
                      <w:rFonts w:hint="eastAsia" w:ascii="仿宋_GB2312" w:hAnsi="仿宋_GB2312" w:eastAsia="仿宋_GB2312" w:cs="仿宋_GB2312"/>
                      <w:b/>
                      <w:bCs w:val="0"/>
                      <w:color w:val="000000"/>
                      <w:sz w:val="26"/>
                      <w:szCs w:val="26"/>
                    </w:rPr>
                    <w:t>（元）</w:t>
                  </w:r>
                </w:p>
              </w:tc>
              <w:tc>
                <w:tcPr>
                  <w:tcW w:w="700" w:type="pct"/>
                  <w:shd w:val="clear" w:color="auto" w:fill="auto"/>
                  <w:vAlign w:val="center"/>
                </w:tcPr>
                <w:p w14:paraId="6360B126">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sz w:val="26"/>
                      <w:szCs w:val="26"/>
                    </w:rPr>
                  </w:pPr>
                  <w:r>
                    <w:rPr>
                      <w:rFonts w:hint="eastAsia" w:ascii="仿宋_GB2312" w:hAnsi="仿宋_GB2312" w:eastAsia="仿宋_GB2312" w:cs="仿宋_GB2312"/>
                      <w:b/>
                      <w:bCs w:val="0"/>
                      <w:color w:val="000000"/>
                      <w:sz w:val="26"/>
                      <w:szCs w:val="26"/>
                      <w:lang w:val="en-US" w:eastAsia="zh-CN"/>
                    </w:rPr>
                    <w:t>品目号预算总价</w:t>
                  </w:r>
                </w:p>
                <w:p w14:paraId="32758711">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kern w:val="0"/>
                      <w:sz w:val="26"/>
                      <w:szCs w:val="26"/>
                    </w:rPr>
                  </w:pPr>
                  <w:r>
                    <w:rPr>
                      <w:rFonts w:hint="eastAsia" w:ascii="仿宋_GB2312" w:hAnsi="仿宋_GB2312" w:eastAsia="仿宋_GB2312" w:cs="仿宋_GB2312"/>
                      <w:b/>
                      <w:bCs w:val="0"/>
                      <w:color w:val="000000"/>
                      <w:sz w:val="26"/>
                      <w:szCs w:val="26"/>
                    </w:rPr>
                    <w:t>（元）</w:t>
                  </w:r>
                </w:p>
              </w:tc>
            </w:tr>
            <w:tr w14:paraId="42579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502" w:type="pct"/>
                  <w:vMerge w:val="restart"/>
                  <w:shd w:val="clear" w:color="auto" w:fill="auto"/>
                  <w:vAlign w:val="center"/>
                </w:tcPr>
                <w:p w14:paraId="122D32E0">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r>
                    <w:rPr>
                      <w:rFonts w:hint="eastAsia" w:ascii="仿宋_GB2312" w:hAnsi="仿宋_GB2312" w:eastAsia="仿宋_GB2312" w:cs="仿宋_GB2312"/>
                      <w:bCs/>
                      <w:color w:val="000000"/>
                      <w:kern w:val="0"/>
                      <w:sz w:val="26"/>
                      <w:szCs w:val="26"/>
                    </w:rPr>
                    <w:t>1</w:t>
                  </w:r>
                </w:p>
              </w:tc>
              <w:tc>
                <w:tcPr>
                  <w:tcW w:w="482" w:type="pct"/>
                  <w:shd w:val="clear" w:color="auto" w:fill="auto"/>
                  <w:vAlign w:val="center"/>
                </w:tcPr>
                <w:p w14:paraId="56D3BD87">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1-1</w:t>
                  </w:r>
                </w:p>
              </w:tc>
              <w:tc>
                <w:tcPr>
                  <w:tcW w:w="1731" w:type="pct"/>
                  <w:shd w:val="clear" w:color="auto" w:fill="auto"/>
                  <w:vAlign w:val="center"/>
                </w:tcPr>
                <w:p w14:paraId="557548B1">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kern w:val="0"/>
                      <w:sz w:val="26"/>
                      <w:szCs w:val="26"/>
                    </w:rPr>
                  </w:pPr>
                </w:p>
              </w:tc>
              <w:tc>
                <w:tcPr>
                  <w:tcW w:w="481" w:type="pct"/>
                  <w:shd w:val="clear" w:color="auto" w:fill="auto"/>
                  <w:vAlign w:val="center"/>
                </w:tcPr>
                <w:p w14:paraId="1BA0FEB1">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lang w:val="en-US" w:eastAsia="zh-CN"/>
                    </w:rPr>
                  </w:pPr>
                  <w:r>
                    <w:rPr>
                      <w:rFonts w:hint="eastAsia" w:ascii="仿宋_GB2312" w:hAnsi="仿宋_GB2312" w:eastAsia="仿宋_GB2312" w:cs="仿宋_GB2312"/>
                      <w:color w:val="000000"/>
                      <w:sz w:val="26"/>
                      <w:szCs w:val="26"/>
                      <w:lang w:val="en-US" w:eastAsia="zh-CN"/>
                    </w:rPr>
                    <w:t>台</w:t>
                  </w:r>
                </w:p>
              </w:tc>
              <w:tc>
                <w:tcPr>
                  <w:tcW w:w="481" w:type="pct"/>
                  <w:shd w:val="clear" w:color="auto" w:fill="auto"/>
                  <w:vAlign w:val="center"/>
                </w:tcPr>
                <w:p w14:paraId="718BD9E4">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621" w:type="pct"/>
                  <w:shd w:val="clear" w:color="auto" w:fill="auto"/>
                  <w:vAlign w:val="center"/>
                </w:tcPr>
                <w:p w14:paraId="386CA7AE">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700" w:type="pct"/>
                  <w:shd w:val="clear" w:color="auto" w:fill="auto"/>
                  <w:vAlign w:val="center"/>
                </w:tcPr>
                <w:p w14:paraId="34183B1E">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r>
            <w:tr w14:paraId="28B1F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02" w:type="pct"/>
                  <w:vMerge w:val="continue"/>
                  <w:shd w:val="clear" w:color="auto" w:fill="auto"/>
                  <w:vAlign w:val="center"/>
                </w:tcPr>
                <w:p w14:paraId="25C73CF3">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p>
              </w:tc>
              <w:tc>
                <w:tcPr>
                  <w:tcW w:w="482" w:type="pct"/>
                  <w:shd w:val="clear" w:color="auto" w:fill="auto"/>
                  <w:vAlign w:val="center"/>
                </w:tcPr>
                <w:p w14:paraId="23F675E6">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1-2</w:t>
                  </w:r>
                </w:p>
              </w:tc>
              <w:tc>
                <w:tcPr>
                  <w:tcW w:w="1731" w:type="pct"/>
                  <w:shd w:val="clear" w:color="auto" w:fill="auto"/>
                  <w:vAlign w:val="center"/>
                </w:tcPr>
                <w:p w14:paraId="38C93FB2">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481" w:type="pct"/>
                  <w:shd w:val="clear" w:color="auto" w:fill="auto"/>
                  <w:vAlign w:val="center"/>
                </w:tcPr>
                <w:p w14:paraId="2674D752">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lang w:val="en-US" w:eastAsia="zh-CN"/>
                    </w:rPr>
                  </w:pPr>
                  <w:r>
                    <w:rPr>
                      <w:rFonts w:hint="eastAsia" w:ascii="仿宋_GB2312" w:hAnsi="仿宋_GB2312" w:eastAsia="仿宋_GB2312" w:cs="仿宋_GB2312"/>
                      <w:color w:val="000000"/>
                      <w:sz w:val="26"/>
                      <w:szCs w:val="26"/>
                      <w:lang w:val="en-US" w:eastAsia="zh-CN"/>
                    </w:rPr>
                    <w:t>箱</w:t>
                  </w:r>
                </w:p>
              </w:tc>
              <w:tc>
                <w:tcPr>
                  <w:tcW w:w="481" w:type="pct"/>
                  <w:shd w:val="clear" w:color="auto" w:fill="auto"/>
                  <w:vAlign w:val="center"/>
                </w:tcPr>
                <w:p w14:paraId="382FA7E1">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621" w:type="pct"/>
                  <w:shd w:val="clear" w:color="auto" w:fill="auto"/>
                  <w:vAlign w:val="center"/>
                </w:tcPr>
                <w:p w14:paraId="2A7C88BC">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700" w:type="pct"/>
                  <w:shd w:val="clear" w:color="auto" w:fill="auto"/>
                  <w:vAlign w:val="center"/>
                </w:tcPr>
                <w:p w14:paraId="7A79026D">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r>
            <w:tr w14:paraId="1618F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02" w:type="pct"/>
                  <w:vMerge w:val="continue"/>
                  <w:shd w:val="clear" w:color="auto" w:fill="auto"/>
                  <w:vAlign w:val="center"/>
                </w:tcPr>
                <w:p w14:paraId="6948EA83">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p>
              </w:tc>
              <w:tc>
                <w:tcPr>
                  <w:tcW w:w="482" w:type="pct"/>
                  <w:shd w:val="clear" w:color="auto" w:fill="auto"/>
                  <w:vAlign w:val="center"/>
                </w:tcPr>
                <w:p w14:paraId="045896C2">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w:t>
                  </w:r>
                </w:p>
              </w:tc>
              <w:tc>
                <w:tcPr>
                  <w:tcW w:w="1731" w:type="pct"/>
                  <w:shd w:val="clear" w:color="auto" w:fill="auto"/>
                  <w:vAlign w:val="center"/>
                </w:tcPr>
                <w:p w14:paraId="514497C4">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481" w:type="pct"/>
                  <w:shd w:val="clear" w:color="auto" w:fill="auto"/>
                  <w:vAlign w:val="center"/>
                </w:tcPr>
                <w:p w14:paraId="0D6E0E5C">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lang w:val="en-US" w:eastAsia="zh-CN"/>
                    </w:rPr>
                  </w:pPr>
                  <w:r>
                    <w:rPr>
                      <w:rFonts w:hint="eastAsia" w:ascii="仿宋_GB2312" w:hAnsi="仿宋_GB2312" w:eastAsia="仿宋_GB2312" w:cs="仿宋_GB2312"/>
                      <w:color w:val="000000"/>
                      <w:sz w:val="26"/>
                      <w:szCs w:val="26"/>
                      <w:lang w:val="en-US" w:eastAsia="zh-CN"/>
                    </w:rPr>
                    <w:t>套</w:t>
                  </w:r>
                </w:p>
              </w:tc>
              <w:tc>
                <w:tcPr>
                  <w:tcW w:w="481" w:type="pct"/>
                  <w:shd w:val="clear" w:color="auto" w:fill="auto"/>
                  <w:vAlign w:val="center"/>
                </w:tcPr>
                <w:p w14:paraId="5140C7BB">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621" w:type="pct"/>
                  <w:shd w:val="clear" w:color="auto" w:fill="auto"/>
                  <w:vAlign w:val="center"/>
                </w:tcPr>
                <w:p w14:paraId="05614A2B">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700" w:type="pct"/>
                  <w:shd w:val="clear" w:color="auto" w:fill="auto"/>
                  <w:vAlign w:val="center"/>
                </w:tcPr>
                <w:p w14:paraId="08E9682F">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r>
            <w:tr w14:paraId="1064A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984" w:type="pct"/>
                  <w:gridSpan w:val="2"/>
                  <w:shd w:val="clear" w:color="auto" w:fill="auto"/>
                  <w:vAlign w:val="center"/>
                </w:tcPr>
                <w:p w14:paraId="7CA2193E">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合计</w:t>
                  </w:r>
                </w:p>
              </w:tc>
              <w:tc>
                <w:tcPr>
                  <w:tcW w:w="4015" w:type="pct"/>
                  <w:gridSpan w:val="5"/>
                  <w:shd w:val="clear" w:color="auto" w:fill="auto"/>
                  <w:vAlign w:val="center"/>
                </w:tcPr>
                <w:p w14:paraId="1F5D1166">
                  <w:pPr>
                    <w:keepNext w:val="0"/>
                    <w:keepLines w:val="0"/>
                    <w:pageBreakBefore w:val="0"/>
                    <w:widowControl/>
                    <w:kinsoku/>
                    <w:wordWrap/>
                    <w:overflowPunct/>
                    <w:topLinePunct w:val="0"/>
                    <w:autoSpaceDE/>
                    <w:autoSpaceDN/>
                    <w:bidi w:val="0"/>
                    <w:adjustRightInd/>
                    <w:spacing w:line="460" w:lineRule="exact"/>
                    <w:ind w:firstLine="2600" w:firstLineChars="1000"/>
                    <w:rPr>
                      <w:rFonts w:hint="eastAsia" w:ascii="仿宋_GB2312" w:hAnsi="仿宋_GB2312" w:eastAsia="仿宋_GB2312" w:cs="仿宋_GB2312"/>
                      <w:color w:val="000000"/>
                      <w:sz w:val="26"/>
                      <w:szCs w:val="26"/>
                    </w:rPr>
                  </w:pPr>
                  <w:r>
                    <w:rPr>
                      <w:rFonts w:hint="eastAsia" w:ascii="仿宋_GB2312" w:hAnsi="仿宋_GB2312" w:eastAsia="仿宋_GB2312" w:cs="仿宋_GB2312"/>
                      <w:bCs/>
                      <w:color w:val="000000"/>
                      <w:sz w:val="26"/>
                      <w:szCs w:val="26"/>
                    </w:rPr>
                    <w:t>人民币</w:t>
                  </w:r>
                  <w:r>
                    <w:rPr>
                      <w:rFonts w:hint="eastAsia" w:ascii="仿宋_GB2312" w:hAnsi="仿宋_GB2312" w:eastAsia="仿宋_GB2312" w:cs="仿宋_GB2312"/>
                      <w:bCs/>
                      <w:color w:val="000000"/>
                      <w:sz w:val="26"/>
                      <w:szCs w:val="26"/>
                      <w:lang w:eastAsia="zh-CN"/>
                    </w:rPr>
                    <w:t>：</w:t>
                  </w:r>
                  <w:r>
                    <w:rPr>
                      <w:rFonts w:hint="eastAsia" w:ascii="仿宋_GB2312" w:hAnsi="仿宋_GB2312" w:eastAsia="仿宋_GB2312" w:cs="仿宋_GB2312"/>
                      <w:bCs/>
                      <w:color w:val="000000"/>
                      <w:sz w:val="26"/>
                      <w:szCs w:val="26"/>
                    </w:rPr>
                    <w:t xml:space="preserve">          元整（</w:t>
                  </w:r>
                  <w:r>
                    <w:rPr>
                      <w:rFonts w:hint="eastAsia" w:ascii="仿宋_GB2312" w:hAnsi="仿宋_GB2312" w:eastAsia="仿宋_GB2312" w:cs="仿宋_GB2312"/>
                      <w:bCs/>
                      <w:color w:val="000000"/>
                      <w:sz w:val="26"/>
                      <w:szCs w:val="26"/>
                      <w:lang w:val="en-US" w:eastAsia="zh-CN"/>
                    </w:rPr>
                    <w:t xml:space="preserve">大写：     </w:t>
                  </w:r>
                  <w:r>
                    <w:rPr>
                      <w:rFonts w:hint="eastAsia" w:ascii="仿宋_GB2312" w:hAnsi="仿宋_GB2312" w:eastAsia="仿宋_GB2312" w:cs="仿宋_GB2312"/>
                      <w:bCs/>
                      <w:color w:val="000000"/>
                      <w:sz w:val="26"/>
                      <w:szCs w:val="26"/>
                    </w:rPr>
                    <w:t>）</w:t>
                  </w:r>
                </w:p>
              </w:tc>
            </w:tr>
          </w:tbl>
          <w:p w14:paraId="356EE97E">
            <w:pPr>
              <w:keepNext w:val="0"/>
              <w:keepLines w:val="0"/>
              <w:pageBreakBefore w:val="0"/>
              <w:numPr>
                <w:ilvl w:val="-1"/>
                <w:numId w:val="0"/>
              </w:numPr>
              <w:kinsoku/>
              <w:wordWrap/>
              <w:overflowPunct/>
              <w:topLinePunct w:val="0"/>
              <w:autoSpaceDE/>
              <w:autoSpaceDN/>
              <w:bidi w:val="0"/>
              <w:adjustRightInd/>
              <w:spacing w:line="460" w:lineRule="exact"/>
              <w:ind w:firstLine="522" w:firstLineChars="200"/>
              <w:jc w:val="left"/>
              <w:rPr>
                <w:rFonts w:hint="eastAsia" w:ascii="黑体" w:hAnsi="黑体" w:eastAsia="黑体" w:cs="黑体"/>
                <w:b/>
                <w:sz w:val="26"/>
                <w:szCs w:val="26"/>
                <w:lang w:val="en-US" w:eastAsia="zh-CN"/>
              </w:rPr>
            </w:pPr>
          </w:p>
          <w:p w14:paraId="29F5DE4F">
            <w:pPr>
              <w:keepNext w:val="0"/>
              <w:keepLines w:val="0"/>
              <w:pageBreakBefore w:val="0"/>
              <w:numPr>
                <w:ilvl w:val="-1"/>
                <w:numId w:val="0"/>
              </w:numPr>
              <w:kinsoku/>
              <w:wordWrap/>
              <w:overflowPunct/>
              <w:topLinePunct w:val="0"/>
              <w:autoSpaceDE/>
              <w:autoSpaceDN/>
              <w:bidi w:val="0"/>
              <w:adjustRightInd/>
              <w:spacing w:line="460" w:lineRule="exact"/>
              <w:ind w:firstLine="522" w:firstLineChars="200"/>
              <w:jc w:val="left"/>
              <w:rPr>
                <w:rFonts w:hint="eastAsia" w:ascii="黑体" w:hAnsi="黑体" w:eastAsia="黑体" w:cs="黑体"/>
                <w:b/>
                <w:sz w:val="26"/>
                <w:szCs w:val="26"/>
              </w:rPr>
            </w:pPr>
            <w:r>
              <w:rPr>
                <w:rFonts w:hint="eastAsia" w:ascii="黑体" w:hAnsi="黑体" w:eastAsia="黑体" w:cs="黑体"/>
                <w:b/>
                <w:sz w:val="26"/>
                <w:szCs w:val="26"/>
                <w:lang w:val="en-US" w:eastAsia="zh-CN"/>
              </w:rPr>
              <w:t>二、</w:t>
            </w:r>
            <w:r>
              <w:rPr>
                <w:rFonts w:hint="eastAsia" w:ascii="黑体" w:hAnsi="黑体" w:eastAsia="黑体" w:cs="黑体"/>
                <w:b/>
                <w:sz w:val="26"/>
                <w:szCs w:val="26"/>
              </w:rPr>
              <w:t>技术</w:t>
            </w:r>
            <w:r>
              <w:rPr>
                <w:rFonts w:hint="eastAsia" w:ascii="黑体" w:hAnsi="黑体" w:eastAsia="黑体" w:cs="黑体"/>
                <w:b/>
                <w:sz w:val="26"/>
                <w:szCs w:val="26"/>
                <w:lang w:val="en-US" w:eastAsia="zh-CN"/>
              </w:rPr>
              <w:t>和服务</w:t>
            </w:r>
            <w:r>
              <w:rPr>
                <w:rFonts w:hint="eastAsia" w:ascii="黑体" w:hAnsi="黑体" w:eastAsia="黑体" w:cs="黑体"/>
                <w:b/>
                <w:sz w:val="26"/>
                <w:szCs w:val="26"/>
              </w:rPr>
              <w:t>要求</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1382"/>
              <w:gridCol w:w="1532"/>
              <w:gridCol w:w="6201"/>
            </w:tblGrid>
            <w:tr w14:paraId="00378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594" w:type="pct"/>
                  <w:vAlign w:val="center"/>
                </w:tcPr>
                <w:p w14:paraId="290208A7">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r>
                    <w:rPr>
                      <w:rFonts w:hint="eastAsia" w:ascii="仿宋_GB2312" w:hAnsi="仿宋_GB2312" w:eastAsia="仿宋_GB2312" w:cs="仿宋_GB2312"/>
                      <w:bCs/>
                      <w:color w:val="000000"/>
                      <w:kern w:val="0"/>
                      <w:sz w:val="26"/>
                      <w:szCs w:val="26"/>
                    </w:rPr>
                    <w:t>合同包</w:t>
                  </w:r>
                </w:p>
              </w:tc>
              <w:tc>
                <w:tcPr>
                  <w:tcW w:w="667" w:type="pct"/>
                  <w:vAlign w:val="center"/>
                </w:tcPr>
                <w:p w14:paraId="79E57476">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r>
                    <w:rPr>
                      <w:rFonts w:hint="eastAsia" w:ascii="仿宋_GB2312" w:hAnsi="仿宋_GB2312" w:eastAsia="仿宋_GB2312" w:cs="仿宋_GB2312"/>
                      <w:bCs/>
                      <w:color w:val="000000"/>
                      <w:kern w:val="0"/>
                      <w:sz w:val="26"/>
                      <w:szCs w:val="26"/>
                    </w:rPr>
                    <w:t>品目号</w:t>
                  </w:r>
                </w:p>
              </w:tc>
              <w:tc>
                <w:tcPr>
                  <w:tcW w:w="740" w:type="pct"/>
                  <w:vAlign w:val="center"/>
                </w:tcPr>
                <w:p w14:paraId="6883576D">
                  <w:pPr>
                    <w:keepNext w:val="0"/>
                    <w:keepLines w:val="0"/>
                    <w:pageBreakBefore w:val="0"/>
                    <w:kinsoku/>
                    <w:wordWrap/>
                    <w:overflowPunct/>
                    <w:topLinePunct w:val="0"/>
                    <w:autoSpaceDE/>
                    <w:autoSpaceDN/>
                    <w:bidi w:val="0"/>
                    <w:adjustRightInd/>
                    <w:spacing w:line="460" w:lineRule="exact"/>
                    <w:jc w:val="center"/>
                    <w:rPr>
                      <w:rFonts w:hint="default" w:ascii="仿宋_GB2312" w:hAnsi="仿宋_GB2312" w:eastAsia="仿宋_GB2312" w:cs="仿宋_GB2312"/>
                      <w:bCs/>
                      <w:color w:val="000000"/>
                      <w:kern w:val="0"/>
                      <w:sz w:val="26"/>
                      <w:szCs w:val="26"/>
                      <w:lang w:val="en-US" w:eastAsia="zh-CN"/>
                    </w:rPr>
                  </w:pPr>
                  <w:r>
                    <w:rPr>
                      <w:rFonts w:hint="eastAsia" w:ascii="仿宋_GB2312" w:hAnsi="仿宋_GB2312" w:eastAsia="仿宋_GB2312" w:cs="仿宋_GB2312"/>
                      <w:bCs/>
                      <w:color w:val="000000"/>
                      <w:kern w:val="0"/>
                      <w:sz w:val="26"/>
                      <w:szCs w:val="26"/>
                      <w:lang w:val="en-US" w:eastAsia="zh-CN"/>
                    </w:rPr>
                    <w:t>采购标的</w:t>
                  </w:r>
                </w:p>
              </w:tc>
              <w:tc>
                <w:tcPr>
                  <w:tcW w:w="2996" w:type="pct"/>
                  <w:vAlign w:val="center"/>
                </w:tcPr>
                <w:p w14:paraId="1F28EC73">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lang w:eastAsia="zh-CN"/>
                    </w:rPr>
                  </w:pPr>
                  <w:r>
                    <w:rPr>
                      <w:rFonts w:hint="eastAsia" w:ascii="仿宋_GB2312" w:hAnsi="仿宋_GB2312" w:eastAsia="仿宋_GB2312" w:cs="仿宋_GB2312"/>
                      <w:bCs/>
                      <w:color w:val="000000"/>
                      <w:kern w:val="0"/>
                      <w:sz w:val="26"/>
                      <w:szCs w:val="26"/>
                    </w:rPr>
                    <w:t>技术</w:t>
                  </w:r>
                  <w:r>
                    <w:rPr>
                      <w:rFonts w:hint="eastAsia" w:ascii="仿宋_GB2312" w:hAnsi="仿宋_GB2312" w:eastAsia="仿宋_GB2312" w:cs="仿宋_GB2312"/>
                      <w:bCs/>
                      <w:color w:val="000000"/>
                      <w:kern w:val="0"/>
                      <w:sz w:val="26"/>
                      <w:szCs w:val="26"/>
                      <w:lang w:val="en-US" w:eastAsia="zh-CN"/>
                    </w:rPr>
                    <w:t>指标</w:t>
                  </w:r>
                </w:p>
              </w:tc>
            </w:tr>
            <w:tr w14:paraId="7D308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pct"/>
                  <w:vMerge w:val="restart"/>
                  <w:vAlign w:val="center"/>
                </w:tcPr>
                <w:p w14:paraId="09E54DB0">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bCs/>
                      <w:color w:val="000000"/>
                      <w:kern w:val="0"/>
                      <w:sz w:val="26"/>
                      <w:szCs w:val="26"/>
                    </w:rPr>
                    <w:t>1</w:t>
                  </w:r>
                </w:p>
              </w:tc>
              <w:tc>
                <w:tcPr>
                  <w:tcW w:w="667" w:type="pct"/>
                  <w:vAlign w:val="center"/>
                </w:tcPr>
                <w:p w14:paraId="3ED7F53D">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bookmarkStart w:id="0" w:name="_Toc22389"/>
                  <w:bookmarkStart w:id="1" w:name="_Toc10192"/>
                  <w:r>
                    <w:rPr>
                      <w:rFonts w:hint="eastAsia" w:ascii="仿宋_GB2312" w:hAnsi="仿宋_GB2312" w:eastAsia="仿宋_GB2312" w:cs="仿宋_GB2312"/>
                      <w:color w:val="000000"/>
                      <w:kern w:val="0"/>
                      <w:sz w:val="26"/>
                      <w:szCs w:val="26"/>
                    </w:rPr>
                    <w:t>1-1</w:t>
                  </w:r>
                </w:p>
                <w:bookmarkEnd w:id="0"/>
                <w:bookmarkEnd w:id="1"/>
              </w:tc>
              <w:tc>
                <w:tcPr>
                  <w:tcW w:w="740" w:type="pct"/>
                  <w:vAlign w:val="center"/>
                </w:tcPr>
                <w:p w14:paraId="16F87BCC">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2996" w:type="pct"/>
                  <w:vAlign w:val="center"/>
                </w:tcPr>
                <w:p w14:paraId="1ABC8E94">
                  <w:pPr>
                    <w:pStyle w:val="18"/>
                    <w:keepNext w:val="0"/>
                    <w:keepLines w:val="0"/>
                    <w:pageBreakBefore w:val="0"/>
                    <w:kinsoku/>
                    <w:wordWrap/>
                    <w:overflowPunct/>
                    <w:topLinePunct w:val="0"/>
                    <w:autoSpaceDE/>
                    <w:autoSpaceDN/>
                    <w:bidi w:val="0"/>
                    <w:adjustRightInd/>
                    <w:spacing w:line="460" w:lineRule="exact"/>
                    <w:ind w:firstLine="0" w:firstLineChars="0"/>
                    <w:jc w:val="left"/>
                    <w:rPr>
                      <w:rFonts w:hint="eastAsia" w:ascii="仿宋_GB2312" w:hAnsi="仿宋_GB2312" w:eastAsia="仿宋_GB2312" w:cs="仿宋_GB2312"/>
                      <w:color w:val="000000"/>
                      <w:sz w:val="26"/>
                      <w:szCs w:val="26"/>
                    </w:rPr>
                  </w:pPr>
                </w:p>
              </w:tc>
            </w:tr>
            <w:tr w14:paraId="3A7B5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pct"/>
                  <w:vMerge w:val="continue"/>
                  <w:vAlign w:val="center"/>
                </w:tcPr>
                <w:p w14:paraId="6D6A6C73">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667" w:type="pct"/>
                  <w:vAlign w:val="center"/>
                </w:tcPr>
                <w:p w14:paraId="5CF9321F">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1-2</w:t>
                  </w:r>
                </w:p>
              </w:tc>
              <w:tc>
                <w:tcPr>
                  <w:tcW w:w="740" w:type="pct"/>
                  <w:vAlign w:val="center"/>
                </w:tcPr>
                <w:p w14:paraId="6A3E8986">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2996" w:type="pct"/>
                  <w:vAlign w:val="center"/>
                </w:tcPr>
                <w:p w14:paraId="769C7DAF">
                  <w:pPr>
                    <w:pStyle w:val="18"/>
                    <w:keepNext w:val="0"/>
                    <w:keepLines w:val="0"/>
                    <w:pageBreakBefore w:val="0"/>
                    <w:kinsoku/>
                    <w:wordWrap/>
                    <w:overflowPunct/>
                    <w:topLinePunct w:val="0"/>
                    <w:autoSpaceDE/>
                    <w:autoSpaceDN/>
                    <w:bidi w:val="0"/>
                    <w:adjustRightInd/>
                    <w:spacing w:line="460" w:lineRule="exact"/>
                    <w:ind w:firstLine="0" w:firstLineChars="0"/>
                    <w:jc w:val="left"/>
                    <w:rPr>
                      <w:rFonts w:hint="eastAsia" w:ascii="仿宋_GB2312" w:hAnsi="仿宋_GB2312" w:eastAsia="仿宋_GB2312" w:cs="仿宋_GB2312"/>
                      <w:color w:val="000000"/>
                      <w:sz w:val="26"/>
                      <w:szCs w:val="26"/>
                    </w:rPr>
                  </w:pPr>
                </w:p>
              </w:tc>
            </w:tr>
            <w:tr w14:paraId="5FEAC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pct"/>
                  <w:vMerge w:val="continue"/>
                  <w:vAlign w:val="center"/>
                </w:tcPr>
                <w:p w14:paraId="6A29A1B7">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667" w:type="pct"/>
                  <w:vAlign w:val="center"/>
                </w:tcPr>
                <w:p w14:paraId="3C23BD58">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w:t>
                  </w:r>
                </w:p>
              </w:tc>
              <w:tc>
                <w:tcPr>
                  <w:tcW w:w="740" w:type="pct"/>
                  <w:vAlign w:val="center"/>
                </w:tcPr>
                <w:p w14:paraId="484947DF">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2996" w:type="pct"/>
                  <w:vAlign w:val="center"/>
                </w:tcPr>
                <w:p w14:paraId="14BB897F">
                  <w:pPr>
                    <w:pStyle w:val="18"/>
                    <w:keepNext w:val="0"/>
                    <w:keepLines w:val="0"/>
                    <w:pageBreakBefore w:val="0"/>
                    <w:kinsoku/>
                    <w:wordWrap/>
                    <w:overflowPunct/>
                    <w:topLinePunct w:val="0"/>
                    <w:autoSpaceDE/>
                    <w:autoSpaceDN/>
                    <w:bidi w:val="0"/>
                    <w:adjustRightInd/>
                    <w:spacing w:line="460" w:lineRule="exact"/>
                    <w:ind w:firstLine="0" w:firstLineChars="0"/>
                    <w:jc w:val="left"/>
                    <w:rPr>
                      <w:rFonts w:hint="eastAsia" w:ascii="仿宋_GB2312" w:hAnsi="仿宋_GB2312" w:eastAsia="仿宋_GB2312" w:cs="仿宋_GB2312"/>
                      <w:color w:val="000000"/>
                      <w:sz w:val="26"/>
                      <w:szCs w:val="26"/>
                    </w:rPr>
                  </w:pPr>
                </w:p>
              </w:tc>
            </w:tr>
          </w:tbl>
          <w:p w14:paraId="316D0806">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Cs/>
                <w:sz w:val="26"/>
                <w:szCs w:val="26"/>
                <w:lang w:val="en-US" w:eastAsia="zh-CN"/>
              </w:rPr>
            </w:pPr>
            <w:r>
              <w:rPr>
                <w:rFonts w:hint="eastAsia" w:ascii="仿宋_GB2312" w:hAnsi="仿宋_GB2312" w:eastAsia="仿宋_GB2312" w:cs="仿宋_GB2312"/>
                <w:bCs/>
                <w:sz w:val="26"/>
                <w:szCs w:val="26"/>
                <w:lang w:val="en-US" w:eastAsia="zh-CN"/>
              </w:rPr>
              <w:t xml:space="preserve"> </w:t>
            </w:r>
          </w:p>
          <w:p w14:paraId="625F79FA">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Cs/>
                <w:sz w:val="26"/>
                <w:szCs w:val="26"/>
                <w:lang w:val="en-US" w:eastAsia="zh-CN"/>
              </w:rPr>
              <w:t xml:space="preserve"> </w:t>
            </w:r>
            <w:r>
              <w:rPr>
                <w:rFonts w:hint="eastAsia" w:ascii="黑体" w:hAnsi="黑体" w:eastAsia="黑体" w:cs="黑体"/>
                <w:b/>
                <w:bCs w:val="0"/>
                <w:sz w:val="26"/>
                <w:szCs w:val="26"/>
                <w:lang w:val="en-US" w:eastAsia="zh-CN"/>
              </w:rPr>
              <w:t>三、</w:t>
            </w:r>
            <w:r>
              <w:rPr>
                <w:rFonts w:hint="eastAsia" w:ascii="黑体" w:hAnsi="黑体" w:eastAsia="黑体" w:cs="黑体"/>
                <w:b/>
                <w:bCs w:val="0"/>
                <w:sz w:val="26"/>
                <w:szCs w:val="26"/>
              </w:rPr>
              <w:t>要求提供样品或者小样</w:t>
            </w:r>
            <w:r>
              <w:rPr>
                <w:rFonts w:hint="eastAsia" w:ascii="仿宋_GB2312" w:hAnsi="仿宋_GB2312" w:eastAsia="仿宋_GB2312" w:cs="仿宋_GB2312"/>
                <w:b/>
                <w:bCs w:val="0"/>
                <w:color w:val="FF0000"/>
                <w:sz w:val="26"/>
                <w:szCs w:val="26"/>
              </w:rPr>
              <w:t>（若无</w:t>
            </w:r>
            <w:r>
              <w:rPr>
                <w:rFonts w:hint="eastAsia" w:ascii="仿宋_GB2312" w:hAnsi="仿宋_GB2312" w:eastAsia="仿宋_GB2312" w:cs="仿宋_GB2312"/>
                <w:b/>
                <w:bCs w:val="0"/>
                <w:color w:val="FF0000"/>
                <w:sz w:val="26"/>
                <w:szCs w:val="26"/>
                <w:lang w:val="en-US" w:eastAsia="zh-CN"/>
              </w:rPr>
              <w:t>提供样品要求</w:t>
            </w:r>
            <w:r>
              <w:rPr>
                <w:rFonts w:hint="eastAsia" w:ascii="仿宋_GB2312" w:hAnsi="仿宋_GB2312" w:eastAsia="仿宋_GB2312" w:cs="仿宋_GB2312"/>
                <w:b/>
                <w:bCs w:val="0"/>
                <w:color w:val="FF0000"/>
                <w:sz w:val="26"/>
                <w:szCs w:val="26"/>
              </w:rPr>
              <w:t>，</w:t>
            </w:r>
            <w:r>
              <w:rPr>
                <w:rFonts w:hint="eastAsia" w:ascii="仿宋_GB2312" w:hAnsi="仿宋_GB2312" w:eastAsia="仿宋_GB2312" w:cs="仿宋_GB2312"/>
                <w:b/>
                <w:color w:val="FF0000"/>
                <w:sz w:val="26"/>
                <w:szCs w:val="26"/>
                <w:lang w:val="en-US" w:eastAsia="zh-CN"/>
              </w:rPr>
              <w:t>可删除此部分内容</w:t>
            </w:r>
            <w:r>
              <w:rPr>
                <w:rFonts w:hint="eastAsia" w:ascii="仿宋_GB2312" w:hAnsi="仿宋_GB2312" w:eastAsia="仿宋_GB2312" w:cs="仿宋_GB2312"/>
                <w:b/>
                <w:bCs w:val="0"/>
                <w:color w:val="FF0000"/>
                <w:sz w:val="26"/>
                <w:szCs w:val="26"/>
              </w:rPr>
              <w:t>）</w:t>
            </w:r>
          </w:p>
          <w:p w14:paraId="5069E934">
            <w:pPr>
              <w:pStyle w:val="9"/>
              <w:keepNext w:val="0"/>
              <w:keepLines w:val="0"/>
              <w:pageBreakBefore w:val="0"/>
              <w:kinsoku/>
              <w:wordWrap/>
              <w:overflowPunct/>
              <w:topLinePunct w:val="0"/>
              <w:autoSpaceDE/>
              <w:autoSpaceDN/>
              <w:bidi w:val="0"/>
              <w:adjustRightInd/>
              <w:spacing w:after="150" w:line="460" w:lineRule="exact"/>
              <w:ind w:right="-180" w:firstLine="520" w:firstLineChars="200"/>
              <w:rPr>
                <w:rFonts w:hint="eastAsia" w:ascii="仿宋_GB2312" w:hAnsi="仿宋_GB2312" w:eastAsia="仿宋_GB2312" w:cs="仿宋_GB2312"/>
                <w:sz w:val="26"/>
                <w:szCs w:val="26"/>
              </w:rPr>
            </w:pPr>
            <w:r>
              <w:rPr>
                <w:rFonts w:hint="eastAsia" w:ascii="仿宋_GB2312" w:hAnsi="仿宋_GB2312" w:eastAsia="仿宋_GB2312" w:cs="仿宋_GB2312"/>
                <w:sz w:val="26"/>
                <w:szCs w:val="26"/>
              </w:rPr>
              <w:t>因书面方式不能准确描述采购需求，需要对样品进行判断以确认是否满足采购需求，故要求投标人按以下要求提供小样样品：</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1772"/>
              <w:gridCol w:w="676"/>
              <w:gridCol w:w="3633"/>
              <w:gridCol w:w="1816"/>
            </w:tblGrid>
            <w:tr w14:paraId="0E1F3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0" w:type="dxa"/>
                  <w:gridSpan w:val="5"/>
                  <w:noWrap w:val="0"/>
                  <w:vAlign w:val="center"/>
                </w:tcPr>
                <w:p w14:paraId="0AEE7363">
                  <w:pPr>
                    <w:keepNext w:val="0"/>
                    <w:keepLines w:val="0"/>
                    <w:pageBreakBefore w:val="0"/>
                    <w:kinsoku/>
                    <w:wordWrap/>
                    <w:overflowPunct/>
                    <w:topLinePunct w:val="0"/>
                    <w:autoSpaceDE/>
                    <w:autoSpaceDN/>
                    <w:bidi w:val="0"/>
                    <w:adjustRightInd/>
                    <w:snapToGrid w:val="0"/>
                    <w:spacing w:line="460" w:lineRule="exact"/>
                    <w:rPr>
                      <w:rFonts w:hint="eastAsia" w:ascii="仿宋_GB2312" w:hAnsi="仿宋_GB2312" w:eastAsia="仿宋_GB2312" w:cs="仿宋_GB2312"/>
                      <w:sz w:val="26"/>
                      <w:szCs w:val="26"/>
                    </w:rPr>
                  </w:pPr>
                  <w:r>
                    <w:rPr>
                      <w:rFonts w:hint="eastAsia" w:ascii="仿宋_GB2312" w:hAnsi="仿宋_GB2312" w:eastAsia="仿宋_GB2312" w:cs="仿宋_GB2312"/>
                      <w:sz w:val="26"/>
                      <w:szCs w:val="26"/>
                    </w:rPr>
                    <w:t>小样样品清单：</w:t>
                  </w:r>
                </w:p>
              </w:tc>
            </w:tr>
            <w:tr w14:paraId="518B6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noWrap w:val="0"/>
                  <w:vAlign w:val="center"/>
                </w:tcPr>
                <w:p w14:paraId="1127EA75">
                  <w:pPr>
                    <w:keepNext w:val="0"/>
                    <w:keepLines w:val="0"/>
                    <w:pageBreakBefore w:val="0"/>
                    <w:widowControl/>
                    <w:kinsoku/>
                    <w:wordWrap/>
                    <w:overflowPunct/>
                    <w:topLinePunct w:val="0"/>
                    <w:autoSpaceDE/>
                    <w:autoSpaceDN/>
                    <w:bidi w:val="0"/>
                    <w:adjustRightInd/>
                    <w:spacing w:line="460" w:lineRule="exact"/>
                    <w:jc w:val="center"/>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1</w:t>
                  </w:r>
                </w:p>
              </w:tc>
              <w:tc>
                <w:tcPr>
                  <w:tcW w:w="1772" w:type="dxa"/>
                  <w:noWrap w:val="0"/>
                  <w:vAlign w:val="center"/>
                </w:tcPr>
                <w:p w14:paraId="78D731B4">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lang w:val="en-US" w:eastAsia="zh-CN"/>
                    </w:rPr>
                  </w:pPr>
                  <w:r>
                    <w:rPr>
                      <w:rFonts w:hint="eastAsia" w:ascii="仿宋_GB2312" w:hAnsi="仿宋_GB2312" w:eastAsia="仿宋_GB2312" w:cs="仿宋_GB2312"/>
                      <w:kern w:val="0"/>
                      <w:sz w:val="26"/>
                      <w:szCs w:val="26"/>
                    </w:rPr>
                    <w:t>品目1-</w:t>
                  </w:r>
                  <w:r>
                    <w:rPr>
                      <w:rFonts w:hint="eastAsia" w:ascii="仿宋_GB2312" w:hAnsi="仿宋_GB2312" w:eastAsia="仿宋_GB2312" w:cs="仿宋_GB2312"/>
                      <w:kern w:val="0"/>
                      <w:sz w:val="26"/>
                      <w:szCs w:val="26"/>
                      <w:lang w:val="en-US" w:eastAsia="zh-CN"/>
                    </w:rPr>
                    <w:t>1</w:t>
                  </w:r>
                </w:p>
              </w:tc>
              <w:tc>
                <w:tcPr>
                  <w:tcW w:w="676" w:type="dxa"/>
                  <w:noWrap w:val="0"/>
                  <w:vAlign w:val="center"/>
                </w:tcPr>
                <w:p w14:paraId="7598B60F">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1张</w:t>
                  </w:r>
                </w:p>
              </w:tc>
              <w:tc>
                <w:tcPr>
                  <w:tcW w:w="3633" w:type="dxa"/>
                  <w:noWrap w:val="0"/>
                  <w:vAlign w:val="center"/>
                </w:tcPr>
                <w:p w14:paraId="296DF684">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详细参数详见技术参数，样品评审要求：样品须符合技术参数要求。</w:t>
                  </w:r>
                </w:p>
              </w:tc>
              <w:tc>
                <w:tcPr>
                  <w:tcW w:w="1816" w:type="dxa"/>
                  <w:vMerge w:val="restart"/>
                  <w:noWrap w:val="0"/>
                  <w:vAlign w:val="center"/>
                </w:tcPr>
                <w:p w14:paraId="1EA6C60C">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所有部件不能采用3D打印件，必须为成品部件。提供3D打印部件的，将按照无效报价处理。</w:t>
                  </w:r>
                </w:p>
              </w:tc>
            </w:tr>
            <w:tr w14:paraId="1C389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1183" w:type="dxa"/>
                  <w:noWrap w:val="0"/>
                  <w:vAlign w:val="center"/>
                </w:tcPr>
                <w:p w14:paraId="7A7E9A17">
                  <w:pPr>
                    <w:keepNext w:val="0"/>
                    <w:keepLines w:val="0"/>
                    <w:pageBreakBefore w:val="0"/>
                    <w:widowControl/>
                    <w:kinsoku/>
                    <w:wordWrap/>
                    <w:overflowPunct/>
                    <w:topLinePunct w:val="0"/>
                    <w:autoSpaceDE/>
                    <w:autoSpaceDN/>
                    <w:bidi w:val="0"/>
                    <w:adjustRightInd/>
                    <w:spacing w:line="460" w:lineRule="exact"/>
                    <w:jc w:val="center"/>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2</w:t>
                  </w:r>
                </w:p>
              </w:tc>
              <w:tc>
                <w:tcPr>
                  <w:tcW w:w="1772" w:type="dxa"/>
                  <w:noWrap w:val="0"/>
                  <w:vAlign w:val="center"/>
                </w:tcPr>
                <w:p w14:paraId="6B682664">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lang w:val="en-US" w:eastAsia="zh-CN"/>
                    </w:rPr>
                  </w:pPr>
                  <w:r>
                    <w:rPr>
                      <w:rFonts w:hint="eastAsia" w:ascii="仿宋_GB2312" w:hAnsi="仿宋_GB2312" w:eastAsia="仿宋_GB2312" w:cs="仿宋_GB2312"/>
                      <w:kern w:val="0"/>
                      <w:sz w:val="26"/>
                      <w:szCs w:val="26"/>
                    </w:rPr>
                    <w:t>品目1-</w:t>
                  </w:r>
                  <w:r>
                    <w:rPr>
                      <w:rFonts w:hint="eastAsia" w:ascii="仿宋_GB2312" w:hAnsi="仿宋_GB2312" w:eastAsia="仿宋_GB2312" w:cs="仿宋_GB2312"/>
                      <w:kern w:val="0"/>
                      <w:sz w:val="26"/>
                      <w:szCs w:val="26"/>
                      <w:lang w:val="en-US" w:eastAsia="zh-CN"/>
                    </w:rPr>
                    <w:t>2</w:t>
                  </w:r>
                </w:p>
              </w:tc>
              <w:tc>
                <w:tcPr>
                  <w:tcW w:w="676" w:type="dxa"/>
                  <w:noWrap w:val="0"/>
                  <w:vAlign w:val="center"/>
                </w:tcPr>
                <w:p w14:paraId="21341AB1">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1根</w:t>
                  </w:r>
                </w:p>
              </w:tc>
              <w:tc>
                <w:tcPr>
                  <w:tcW w:w="3633" w:type="dxa"/>
                  <w:noWrap w:val="0"/>
                  <w:vAlign w:val="center"/>
                </w:tcPr>
                <w:p w14:paraId="61B60D8A">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长度不小于</w:t>
                  </w:r>
                  <w:r>
                    <w:rPr>
                      <w:rFonts w:hint="eastAsia" w:ascii="仿宋_GB2312" w:hAnsi="仿宋_GB2312" w:eastAsia="仿宋_GB2312" w:cs="仿宋_GB2312"/>
                      <w:kern w:val="0"/>
                      <w:sz w:val="26"/>
                      <w:szCs w:val="26"/>
                      <w:highlight w:val="yellow"/>
                    </w:rPr>
                    <w:t>400mm</w:t>
                  </w:r>
                  <w:r>
                    <w:rPr>
                      <w:rFonts w:hint="eastAsia" w:ascii="仿宋_GB2312" w:hAnsi="仿宋_GB2312" w:eastAsia="仿宋_GB2312" w:cs="仿宋_GB2312"/>
                      <w:kern w:val="0"/>
                      <w:sz w:val="26"/>
                      <w:szCs w:val="26"/>
                    </w:rPr>
                    <w:t>，参数详见技术参数，样品评审要求：样品须符合技术参数要求。</w:t>
                  </w:r>
                </w:p>
              </w:tc>
              <w:tc>
                <w:tcPr>
                  <w:tcW w:w="1816" w:type="dxa"/>
                  <w:vMerge w:val="continue"/>
                  <w:noWrap w:val="0"/>
                  <w:vAlign w:val="top"/>
                </w:tcPr>
                <w:p w14:paraId="2A06171C">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rPr>
                  </w:pPr>
                </w:p>
              </w:tc>
            </w:tr>
          </w:tbl>
          <w:p w14:paraId="1DCE9FB7">
            <w:pPr>
              <w:keepNext w:val="0"/>
              <w:keepLines w:val="0"/>
              <w:pageBreakBefore w:val="0"/>
              <w:kinsoku/>
              <w:wordWrap/>
              <w:overflowPunct/>
              <w:topLinePunct w:val="0"/>
              <w:autoSpaceDE/>
              <w:autoSpaceDN/>
              <w:bidi w:val="0"/>
              <w:adjustRightInd/>
              <w:snapToGrid w:val="0"/>
              <w:spacing w:line="460" w:lineRule="exact"/>
              <w:ind w:firstLine="520" w:firstLineChars="200"/>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注：</w:t>
            </w:r>
          </w:p>
          <w:p w14:paraId="66E4C571">
            <w:pPr>
              <w:keepNext w:val="0"/>
              <w:keepLines w:val="0"/>
              <w:pageBreakBefore w:val="0"/>
              <w:kinsoku/>
              <w:wordWrap/>
              <w:overflowPunct/>
              <w:topLinePunct w:val="0"/>
              <w:autoSpaceDE/>
              <w:autoSpaceDN/>
              <w:bidi w:val="0"/>
              <w:adjustRightInd/>
              <w:snapToGrid w:val="0"/>
              <w:spacing w:line="460" w:lineRule="exact"/>
              <w:ind w:firstLine="520" w:firstLineChars="200"/>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（1）投标人的样品须在投标文件递交截止前一个工作日下午16:00(北京时间）之前递交到开标地点并安装完毕。投标样品上标明样品名称。投标样品本身不能有可以识别投标人的任何标记，否则视为无效投标。</w:t>
            </w:r>
          </w:p>
          <w:p w14:paraId="6BD8E20D">
            <w:pPr>
              <w:keepNext w:val="0"/>
              <w:keepLines w:val="0"/>
              <w:pageBreakBefore w:val="0"/>
              <w:kinsoku/>
              <w:wordWrap/>
              <w:overflowPunct/>
              <w:topLinePunct w:val="0"/>
              <w:autoSpaceDE/>
              <w:autoSpaceDN/>
              <w:bidi w:val="0"/>
              <w:adjustRightInd/>
              <w:snapToGrid w:val="0"/>
              <w:spacing w:line="460" w:lineRule="exact"/>
              <w:ind w:firstLine="520" w:firstLineChars="200"/>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（2）样品尺寸规格允许</w:t>
            </w:r>
            <w:r>
              <w:rPr>
                <w:rFonts w:hint="eastAsia" w:ascii="仿宋_GB2312" w:hAnsi="仿宋_GB2312" w:eastAsia="仿宋_GB2312" w:cs="仿宋_GB2312"/>
                <w:sz w:val="26"/>
                <w:szCs w:val="26"/>
              </w:rPr>
              <w:t>规定的数值范围内存在</w:t>
            </w:r>
            <w:r>
              <w:rPr>
                <w:rFonts w:hint="eastAsia" w:ascii="仿宋_GB2312" w:hAnsi="仿宋_GB2312" w:eastAsia="仿宋_GB2312" w:cs="仿宋_GB2312"/>
                <w:color w:val="auto"/>
                <w:sz w:val="26"/>
                <w:szCs w:val="26"/>
                <w:highlight w:val="yellow"/>
              </w:rPr>
              <w:t>±2%（含2%）</w:t>
            </w:r>
            <w:r>
              <w:rPr>
                <w:rFonts w:hint="eastAsia" w:ascii="仿宋_GB2312" w:hAnsi="仿宋_GB2312" w:eastAsia="仿宋_GB2312" w:cs="仿宋_GB2312"/>
                <w:sz w:val="26"/>
                <w:szCs w:val="26"/>
              </w:rPr>
              <w:t>的偏离</w:t>
            </w:r>
            <w:r>
              <w:rPr>
                <w:rFonts w:hint="eastAsia" w:ascii="仿宋_GB2312" w:hAnsi="仿宋_GB2312" w:eastAsia="仿宋_GB2312" w:cs="仿宋_GB2312"/>
                <w:kern w:val="0"/>
                <w:sz w:val="26"/>
                <w:szCs w:val="26"/>
              </w:rPr>
              <w:t>，所有样品均不允许3D打印制作，否则视为未实质响应招标文件的技术要求，按无效投标处理。</w:t>
            </w:r>
          </w:p>
          <w:p w14:paraId="44C333AA">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Cs/>
                <w:sz w:val="26"/>
                <w:szCs w:val="26"/>
                <w:lang w:val="en-US" w:eastAsia="zh-CN"/>
              </w:rPr>
            </w:pPr>
            <w:r>
              <w:rPr>
                <w:rFonts w:hint="eastAsia" w:ascii="仿宋_GB2312" w:hAnsi="仿宋_GB2312" w:eastAsia="仿宋_GB2312" w:cs="仿宋_GB2312"/>
                <w:b/>
                <w:bCs/>
                <w:kern w:val="0"/>
                <w:sz w:val="26"/>
                <w:szCs w:val="26"/>
                <w:lang w:val="en-US" w:eastAsia="zh-CN" w:bidi="ar-SA"/>
              </w:rPr>
              <w:t>（3）未提供样品或样品提供不齐全或提供的投标样品外观模样、款型、颜色、材质、工艺及使用功能等技术参数与招标文件技术参数不符的，将被视为未实质响应招标文件的技术要求，按无效投标处理</w:t>
            </w:r>
          </w:p>
          <w:p w14:paraId="5AD30845">
            <w:pPr>
              <w:keepNext w:val="0"/>
              <w:keepLines w:val="0"/>
              <w:pageBreakBefore w:val="0"/>
              <w:numPr>
                <w:ilvl w:val="-1"/>
                <w:numId w:val="0"/>
              </w:numPr>
              <w:kinsoku/>
              <w:wordWrap/>
              <w:overflowPunct/>
              <w:topLinePunct w:val="0"/>
              <w:autoSpaceDE/>
              <w:autoSpaceDN/>
              <w:bidi w:val="0"/>
              <w:adjustRightInd/>
              <w:spacing w:line="460" w:lineRule="exact"/>
              <w:ind w:firstLine="522" w:firstLineChars="200"/>
              <w:jc w:val="left"/>
              <w:rPr>
                <w:rFonts w:hint="eastAsia" w:ascii="黑体" w:hAnsi="黑体" w:eastAsia="黑体" w:cs="黑体"/>
                <w:b/>
                <w:bCs w:val="0"/>
                <w:sz w:val="26"/>
                <w:szCs w:val="26"/>
              </w:rPr>
            </w:pPr>
            <w:r>
              <w:rPr>
                <w:rFonts w:hint="eastAsia" w:ascii="黑体" w:hAnsi="黑体" w:eastAsia="黑体" w:cs="黑体"/>
                <w:b/>
                <w:bCs w:val="0"/>
                <w:sz w:val="26"/>
                <w:szCs w:val="26"/>
                <w:lang w:val="en-US" w:eastAsia="zh-CN"/>
              </w:rPr>
              <w:t>四</w:t>
            </w:r>
            <w:r>
              <w:rPr>
                <w:rFonts w:hint="eastAsia" w:ascii="黑体" w:hAnsi="黑体" w:eastAsia="黑体" w:cs="黑体"/>
                <w:b/>
                <w:bCs w:val="0"/>
                <w:sz w:val="26"/>
                <w:szCs w:val="26"/>
                <w:lang w:val="en-US" w:eastAsia="zh-CN"/>
              </w:rPr>
              <w:t>、商务</w:t>
            </w:r>
            <w:r>
              <w:rPr>
                <w:rFonts w:hint="eastAsia" w:ascii="黑体" w:hAnsi="黑体" w:eastAsia="黑体" w:cs="黑体"/>
                <w:b/>
                <w:bCs w:val="0"/>
                <w:sz w:val="26"/>
                <w:szCs w:val="26"/>
              </w:rPr>
              <w:t>要求</w:t>
            </w:r>
          </w:p>
          <w:p w14:paraId="6AF4A543">
            <w:pPr>
              <w:pStyle w:val="5"/>
              <w:keepNext w:val="0"/>
              <w:keepLines w:val="0"/>
              <w:pageBreakBefore w:val="0"/>
              <w:kinsoku/>
              <w:wordWrap/>
              <w:overflowPunct/>
              <w:topLinePunct w:val="0"/>
              <w:autoSpaceDE/>
              <w:autoSpaceDN/>
              <w:bidi w:val="0"/>
              <w:adjustRightInd/>
              <w:spacing w:line="460" w:lineRule="exact"/>
              <w:ind w:firstLine="520" w:firstLineChars="200"/>
              <w:rPr>
                <w:rFonts w:hint="eastAsia" w:ascii="仿宋_GB2312" w:hAnsi="仿宋_GB2312" w:eastAsia="仿宋_GB2312" w:cs="仿宋_GB2312"/>
                <w:color w:val="FF0000"/>
                <w:sz w:val="26"/>
                <w:szCs w:val="26"/>
              </w:rPr>
            </w:pPr>
            <w:r>
              <w:rPr>
                <w:rFonts w:hint="eastAsia" w:ascii="仿宋_GB2312" w:hAnsi="仿宋_GB2312" w:eastAsia="仿宋_GB2312" w:cs="仿宋_GB2312"/>
                <w:color w:val="FF0000"/>
                <w:sz w:val="26"/>
                <w:szCs w:val="26"/>
              </w:rPr>
              <w:t>（包含但不限制于以下内容。。。。）</w:t>
            </w:r>
          </w:p>
          <w:p w14:paraId="37D9A7F1">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22" w:firstLineChars="200"/>
              <w:textAlignment w:val="auto"/>
              <w:rPr>
                <w:rFonts w:hint="eastAsia" w:ascii="楷体_GB2312" w:hAnsi="楷体_GB2312" w:eastAsia="楷体_GB2312" w:cs="楷体_GB2312"/>
                <w:b/>
                <w:color w:val="auto"/>
                <w:sz w:val="26"/>
                <w:szCs w:val="26"/>
              </w:rPr>
            </w:pPr>
            <w:r>
              <w:rPr>
                <w:rFonts w:hint="eastAsia" w:ascii="楷体_GB2312" w:hAnsi="楷体_GB2312" w:eastAsia="楷体_GB2312" w:cs="楷体_GB2312"/>
                <w:b/>
                <w:color w:val="auto"/>
                <w:sz w:val="26"/>
                <w:szCs w:val="26"/>
                <w:lang w:eastAsia="zh-CN"/>
              </w:rPr>
              <w:t>（</w:t>
            </w:r>
            <w:r>
              <w:rPr>
                <w:rFonts w:hint="eastAsia" w:ascii="楷体_GB2312" w:hAnsi="楷体_GB2312" w:eastAsia="楷体_GB2312" w:cs="楷体_GB2312"/>
                <w:b/>
                <w:color w:val="auto"/>
                <w:sz w:val="26"/>
                <w:szCs w:val="26"/>
                <w:lang w:val="en-US" w:eastAsia="zh-CN"/>
              </w:rPr>
              <w:t>一</w:t>
            </w:r>
            <w:r>
              <w:rPr>
                <w:rFonts w:hint="eastAsia" w:ascii="楷体_GB2312" w:hAnsi="楷体_GB2312" w:eastAsia="楷体_GB2312" w:cs="楷体_GB2312"/>
                <w:b/>
                <w:color w:val="auto"/>
                <w:sz w:val="26"/>
                <w:szCs w:val="26"/>
                <w:lang w:eastAsia="zh-CN"/>
              </w:rPr>
              <w:t>）</w:t>
            </w:r>
            <w:r>
              <w:rPr>
                <w:rFonts w:hint="eastAsia" w:ascii="楷体_GB2312" w:hAnsi="楷体_GB2312" w:eastAsia="楷体_GB2312" w:cs="楷体_GB2312"/>
                <w:b/>
                <w:color w:val="auto"/>
                <w:sz w:val="26"/>
                <w:szCs w:val="26"/>
              </w:rPr>
              <w:t>交货时间与交货地点</w:t>
            </w:r>
          </w:p>
          <w:p w14:paraId="6A3D114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22" w:firstLineChars="200"/>
              <w:textAlignment w:val="auto"/>
              <w:rPr>
                <w:rFonts w:hint="eastAsia" w:ascii="仿宋_GB2312" w:hAnsi="仿宋_GB2312" w:eastAsia="仿宋_GB2312" w:cs="仿宋_GB2312"/>
                <w:b/>
                <w:color w:val="auto"/>
                <w:kern w:val="0"/>
                <w:sz w:val="26"/>
                <w:szCs w:val="26"/>
                <w:lang w:bidi="ar"/>
              </w:rPr>
            </w:pPr>
            <w:r>
              <w:rPr>
                <w:rFonts w:hint="eastAsia" w:ascii="仿宋_GB2312" w:hAnsi="仿宋_GB2312" w:eastAsia="仿宋_GB2312" w:cs="仿宋_GB2312"/>
                <w:b/>
                <w:color w:val="auto"/>
                <w:sz w:val="26"/>
                <w:szCs w:val="26"/>
                <w:lang w:val="en-US" w:eastAsia="zh-CN"/>
              </w:rPr>
              <w:t>1.</w:t>
            </w:r>
            <w:r>
              <w:rPr>
                <w:rFonts w:hint="eastAsia" w:ascii="仿宋_GB2312" w:hAnsi="仿宋_GB2312" w:eastAsia="仿宋_GB2312" w:cs="仿宋_GB2312"/>
                <w:b/>
                <w:color w:val="auto"/>
                <w:sz w:val="26"/>
                <w:szCs w:val="26"/>
              </w:rPr>
              <w:t>交货时间：</w:t>
            </w:r>
            <w:r>
              <w:rPr>
                <w:rFonts w:hint="eastAsia" w:ascii="仿宋_GB2312" w:hAnsi="仿宋_GB2312" w:eastAsia="仿宋_GB2312" w:cs="仿宋_GB2312"/>
                <w:b w:val="0"/>
                <w:bCs/>
                <w:color w:val="auto"/>
                <w:kern w:val="0"/>
                <w:sz w:val="26"/>
                <w:szCs w:val="26"/>
                <w:lang w:val="en-US" w:eastAsia="zh-CN" w:bidi="ar"/>
              </w:rPr>
              <w:t>成交后</w:t>
            </w:r>
            <w:r>
              <w:rPr>
                <w:rFonts w:hint="eastAsia" w:ascii="仿宋_GB2312" w:hAnsi="仿宋_GB2312" w:eastAsia="仿宋_GB2312" w:cs="仿宋_GB2312"/>
                <w:b w:val="0"/>
                <w:bCs/>
                <w:color w:val="auto"/>
                <w:kern w:val="0"/>
                <w:sz w:val="26"/>
                <w:szCs w:val="26"/>
                <w:lang w:bidi="ar"/>
              </w:rPr>
              <w:t>/合同签订后</w:t>
            </w:r>
            <w:r>
              <w:rPr>
                <w:rFonts w:hint="eastAsia" w:ascii="仿宋_GB2312" w:hAnsi="仿宋_GB2312" w:eastAsia="仿宋_GB2312" w:cs="仿宋_GB2312"/>
                <w:b w:val="0"/>
                <w:bCs/>
                <w:color w:val="auto"/>
                <w:kern w:val="0"/>
                <w:sz w:val="26"/>
                <w:szCs w:val="26"/>
                <w:highlight w:val="none"/>
                <w:u w:val="single"/>
                <w:lang w:bidi="ar"/>
              </w:rPr>
              <w:t xml:space="preserve">  日</w:t>
            </w:r>
            <w:r>
              <w:rPr>
                <w:rFonts w:hint="eastAsia" w:ascii="仿宋_GB2312" w:hAnsi="仿宋_GB2312" w:eastAsia="仿宋_GB2312" w:cs="仿宋_GB2312"/>
                <w:b w:val="0"/>
                <w:bCs/>
                <w:color w:val="auto"/>
                <w:kern w:val="0"/>
                <w:sz w:val="26"/>
                <w:szCs w:val="26"/>
                <w:lang w:bidi="ar"/>
              </w:rPr>
              <w:t>内供货并安装调试完毕。</w:t>
            </w:r>
          </w:p>
          <w:p w14:paraId="4BF83C4E">
            <w:pPr>
              <w:keepNext w:val="0"/>
              <w:keepLines w:val="0"/>
              <w:pageBreakBefore w:val="0"/>
              <w:widowControl w:val="0"/>
              <w:kinsoku/>
              <w:wordWrap/>
              <w:overflowPunct/>
              <w:topLinePunct w:val="0"/>
              <w:autoSpaceDE/>
              <w:autoSpaceDN/>
              <w:bidi w:val="0"/>
              <w:adjustRightInd/>
              <w:snapToGrid/>
              <w:spacing w:line="480" w:lineRule="exact"/>
              <w:ind w:firstLine="522" w:firstLineChars="200"/>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b/>
                <w:color w:val="auto"/>
                <w:sz w:val="26"/>
                <w:szCs w:val="26"/>
              </w:rPr>
              <w:t>2</w:t>
            </w:r>
            <w:r>
              <w:rPr>
                <w:rFonts w:hint="eastAsia" w:ascii="仿宋_GB2312" w:hAnsi="仿宋_GB2312" w:eastAsia="仿宋_GB2312" w:cs="仿宋_GB2312"/>
                <w:b/>
                <w:color w:val="auto"/>
                <w:sz w:val="26"/>
                <w:szCs w:val="26"/>
                <w:lang w:val="en-US" w:eastAsia="zh-CN"/>
              </w:rPr>
              <w:t>.</w:t>
            </w:r>
            <w:r>
              <w:rPr>
                <w:rFonts w:hint="eastAsia" w:ascii="仿宋_GB2312" w:hAnsi="仿宋_GB2312" w:eastAsia="仿宋_GB2312" w:cs="仿宋_GB2312"/>
                <w:b/>
                <w:color w:val="auto"/>
                <w:sz w:val="26"/>
                <w:szCs w:val="26"/>
              </w:rPr>
              <w:t>交货地点：</w:t>
            </w:r>
            <w:r>
              <w:rPr>
                <w:rFonts w:hint="eastAsia" w:ascii="仿宋_GB2312" w:hAnsi="仿宋_GB2312" w:eastAsia="仿宋_GB2312" w:cs="仿宋_GB2312"/>
                <w:color w:val="auto"/>
                <w:sz w:val="26"/>
                <w:szCs w:val="26"/>
              </w:rPr>
              <w:t>福建师范大学协和学院</w:t>
            </w:r>
          </w:p>
          <w:p w14:paraId="367860C4">
            <w:pPr>
              <w:keepNext w:val="0"/>
              <w:keepLines w:val="0"/>
              <w:pageBreakBefore w:val="0"/>
              <w:widowControl w:val="0"/>
              <w:kinsoku/>
              <w:wordWrap/>
              <w:overflowPunct/>
              <w:topLinePunct w:val="0"/>
              <w:autoSpaceDE/>
              <w:autoSpaceDN/>
              <w:bidi w:val="0"/>
              <w:adjustRightInd/>
              <w:snapToGrid/>
              <w:spacing w:line="480" w:lineRule="exact"/>
              <w:ind w:firstLine="522" w:firstLineChars="200"/>
              <w:textAlignment w:val="auto"/>
              <w:rPr>
                <w:rFonts w:hint="eastAsia" w:ascii="楷体_GB2312" w:hAnsi="楷体_GB2312" w:eastAsia="楷体_GB2312" w:cs="楷体_GB2312"/>
                <w:b/>
                <w:bCs/>
                <w:color w:val="auto"/>
                <w:sz w:val="26"/>
                <w:szCs w:val="26"/>
              </w:rPr>
            </w:pPr>
            <w:r>
              <w:rPr>
                <w:rFonts w:hint="eastAsia" w:ascii="楷体_GB2312" w:hAnsi="楷体_GB2312" w:eastAsia="楷体_GB2312" w:cs="楷体_GB2312"/>
                <w:b/>
                <w:bCs/>
                <w:color w:val="auto"/>
                <w:sz w:val="26"/>
                <w:szCs w:val="26"/>
              </w:rPr>
              <w:t>（二）结算方式</w:t>
            </w:r>
          </w:p>
          <w:p w14:paraId="0334FAD0">
            <w:pPr>
              <w:spacing w:line="480" w:lineRule="exact"/>
              <w:ind w:firstLine="520" w:firstLineChars="200"/>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rPr>
              <w:t>在货物到达现场并验收合格后付给</w:t>
            </w:r>
            <w:r>
              <w:rPr>
                <w:rFonts w:hint="eastAsia" w:ascii="仿宋_GB2312" w:hAnsi="仿宋_GB2312" w:eastAsia="仿宋_GB2312" w:cs="仿宋_GB2312"/>
                <w:b w:val="0"/>
                <w:bCs w:val="0"/>
                <w:color w:val="auto"/>
                <w:sz w:val="26"/>
                <w:szCs w:val="26"/>
                <w:u w:val="single"/>
                <w:lang w:val="en-US" w:eastAsia="zh-CN"/>
              </w:rPr>
              <w:t>___</w:t>
            </w:r>
            <w:r>
              <w:rPr>
                <w:rFonts w:hint="eastAsia" w:ascii="仿宋_GB2312" w:hAnsi="仿宋_GB2312" w:eastAsia="仿宋_GB2312" w:cs="仿宋_GB2312"/>
                <w:b w:val="0"/>
                <w:bCs w:val="0"/>
                <w:color w:val="auto"/>
                <w:sz w:val="26"/>
                <w:szCs w:val="26"/>
              </w:rPr>
              <w:t>%货款。</w:t>
            </w:r>
          </w:p>
          <w:p w14:paraId="15C544B3">
            <w:pPr>
              <w:spacing w:line="480" w:lineRule="exact"/>
              <w:ind w:firstLine="522" w:firstLineChars="200"/>
              <w:rPr>
                <w:rFonts w:hint="eastAsia" w:ascii="宋体" w:hAnsi="宋体" w:eastAsia="宋体" w:cs="宋体"/>
                <w:b/>
                <w:bCs/>
                <w:color w:val="FFC000"/>
                <w:sz w:val="26"/>
                <w:szCs w:val="26"/>
              </w:rPr>
            </w:pPr>
            <w:r>
              <w:rPr>
                <w:rFonts w:hint="eastAsia" w:ascii="宋体" w:hAnsi="宋体" w:eastAsia="宋体" w:cs="宋体"/>
                <w:b/>
                <w:bCs/>
                <w:color w:val="FFC000"/>
                <w:sz w:val="26"/>
                <w:szCs w:val="26"/>
              </w:rPr>
              <w:t>（具体方式依据项目金额和项目内容而定）</w:t>
            </w:r>
          </w:p>
          <w:p w14:paraId="4128E3D9">
            <w:pPr>
              <w:keepNext w:val="0"/>
              <w:keepLines w:val="0"/>
              <w:pageBreakBefore w:val="0"/>
              <w:widowControl w:val="0"/>
              <w:kinsoku/>
              <w:wordWrap/>
              <w:overflowPunct/>
              <w:topLinePunct w:val="0"/>
              <w:autoSpaceDE/>
              <w:autoSpaceDN/>
              <w:bidi w:val="0"/>
              <w:adjustRightInd/>
              <w:snapToGrid/>
              <w:spacing w:line="480" w:lineRule="exact"/>
              <w:ind w:firstLine="522" w:firstLineChars="200"/>
              <w:textAlignment w:val="auto"/>
              <w:rPr>
                <w:rFonts w:hint="eastAsia" w:ascii="楷体_GB2312" w:hAnsi="楷体_GB2312" w:eastAsia="楷体_GB2312" w:cs="楷体_GB2312"/>
                <w:b/>
                <w:bCs/>
                <w:color w:val="auto"/>
                <w:sz w:val="26"/>
                <w:szCs w:val="26"/>
              </w:rPr>
            </w:pPr>
            <w:r>
              <w:rPr>
                <w:rFonts w:hint="eastAsia" w:ascii="楷体_GB2312" w:hAnsi="楷体_GB2312" w:eastAsia="楷体_GB2312" w:cs="楷体_GB2312"/>
                <w:b/>
                <w:bCs/>
                <w:color w:val="auto"/>
                <w:sz w:val="26"/>
                <w:szCs w:val="26"/>
              </w:rPr>
              <w:t>（三）履约保证金</w:t>
            </w:r>
          </w:p>
          <w:p w14:paraId="6D174E5B">
            <w:pPr>
              <w:keepNext w:val="0"/>
              <w:keepLines w:val="0"/>
              <w:pageBreakBefore w:val="0"/>
              <w:widowControl w:val="0"/>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rPr>
              <w:t>供应商在成交后</w:t>
            </w:r>
            <w:r>
              <w:rPr>
                <w:rFonts w:hint="eastAsia" w:ascii="仿宋_GB2312" w:hAnsi="仿宋_GB2312" w:eastAsia="仿宋_GB2312" w:cs="仿宋_GB2312"/>
                <w:b w:val="0"/>
                <w:bCs w:val="0"/>
                <w:color w:val="auto"/>
                <w:sz w:val="26"/>
                <w:szCs w:val="26"/>
                <w:lang w:val="en-US" w:eastAsia="zh-CN"/>
              </w:rPr>
              <w:t>X日内/合同签订前</w:t>
            </w:r>
            <w:r>
              <w:rPr>
                <w:rFonts w:hint="eastAsia" w:ascii="仿宋_GB2312" w:hAnsi="仿宋_GB2312" w:eastAsia="仿宋_GB2312" w:cs="仿宋_GB2312"/>
                <w:b w:val="0"/>
                <w:bCs w:val="0"/>
                <w:color w:val="auto"/>
                <w:sz w:val="26"/>
                <w:szCs w:val="26"/>
              </w:rPr>
              <w:t>应向采购人缴纳成交价</w:t>
            </w:r>
            <w:r>
              <w:rPr>
                <w:rFonts w:hint="eastAsia" w:ascii="仿宋_GB2312" w:hAnsi="仿宋_GB2312" w:eastAsia="仿宋_GB2312" w:cs="仿宋_GB2312"/>
                <w:b w:val="0"/>
                <w:bCs w:val="0"/>
                <w:color w:val="auto"/>
                <w:sz w:val="26"/>
                <w:szCs w:val="26"/>
                <w:lang w:val="en-US" w:eastAsia="zh-CN"/>
              </w:rPr>
              <w:t>X</w:t>
            </w:r>
            <w:r>
              <w:rPr>
                <w:rFonts w:hint="eastAsia" w:ascii="仿宋_GB2312" w:hAnsi="仿宋_GB2312" w:eastAsia="仿宋_GB2312" w:cs="仿宋_GB2312"/>
                <w:b w:val="0"/>
                <w:bCs w:val="0"/>
                <w:color w:val="auto"/>
                <w:sz w:val="26"/>
                <w:szCs w:val="26"/>
              </w:rPr>
              <w:t>%作为履约保证金，该履约保证金于货物验收合格后，在合同下所列项目正常运行</w:t>
            </w:r>
            <w:r>
              <w:rPr>
                <w:rFonts w:hint="eastAsia" w:ascii="仿宋_GB2312" w:hAnsi="仿宋_GB2312" w:eastAsia="仿宋_GB2312" w:cs="仿宋_GB2312"/>
                <w:b w:val="0"/>
                <w:bCs w:val="0"/>
                <w:color w:val="auto"/>
                <w:sz w:val="26"/>
                <w:szCs w:val="26"/>
                <w:u w:val="single"/>
              </w:rPr>
              <w:t>3个月后</w:t>
            </w:r>
            <w:r>
              <w:rPr>
                <w:rFonts w:hint="eastAsia" w:ascii="仿宋_GB2312" w:hAnsi="仿宋_GB2312" w:eastAsia="仿宋_GB2312" w:cs="仿宋_GB2312"/>
                <w:b w:val="0"/>
                <w:bCs w:val="0"/>
                <w:color w:val="auto"/>
                <w:sz w:val="26"/>
                <w:szCs w:val="26"/>
              </w:rPr>
              <w:t>（自验收合格之日起计算）</w:t>
            </w:r>
            <w:r>
              <w:rPr>
                <w:rFonts w:hint="eastAsia" w:ascii="仿宋_GB2312" w:hAnsi="仿宋_GB2312" w:eastAsia="仿宋_GB2312" w:cs="仿宋_GB2312"/>
                <w:b w:val="0"/>
                <w:bCs w:val="0"/>
                <w:color w:val="auto"/>
                <w:sz w:val="26"/>
                <w:szCs w:val="26"/>
                <w:lang w:eastAsia="zh-CN"/>
              </w:rPr>
              <w:t>，在</w:t>
            </w:r>
            <w:r>
              <w:rPr>
                <w:rFonts w:hint="eastAsia" w:ascii="仿宋_GB2312" w:hAnsi="仿宋_GB2312" w:eastAsia="仿宋_GB2312" w:cs="仿宋_GB2312"/>
                <w:b w:val="0"/>
                <w:bCs w:val="0"/>
                <w:color w:val="auto"/>
                <w:sz w:val="26"/>
                <w:szCs w:val="26"/>
                <w:u w:val="none"/>
                <w:lang w:val="en-US" w:eastAsia="zh-CN"/>
              </w:rPr>
              <w:t>成交供应商</w:t>
            </w:r>
            <w:r>
              <w:rPr>
                <w:rFonts w:hint="eastAsia" w:ascii="仿宋_GB2312" w:hAnsi="仿宋_GB2312" w:eastAsia="仿宋_GB2312" w:cs="仿宋_GB2312"/>
                <w:b w:val="0"/>
                <w:bCs w:val="0"/>
                <w:color w:val="auto"/>
                <w:sz w:val="26"/>
                <w:szCs w:val="26"/>
              </w:rPr>
              <w:t>完整履行合同且无违约的前提下，采购人以转账方式无息退还。</w:t>
            </w:r>
          </w:p>
          <w:p w14:paraId="2C4675B2">
            <w:pPr>
              <w:spacing w:line="480" w:lineRule="exact"/>
              <w:ind w:firstLine="522" w:firstLineChars="200"/>
              <w:rPr>
                <w:rFonts w:hint="eastAsia" w:ascii="宋体" w:hAnsi="宋体" w:eastAsia="宋体" w:cs="宋体"/>
                <w:b/>
                <w:bCs/>
                <w:color w:val="FFC000"/>
                <w:sz w:val="32"/>
                <w:szCs w:val="32"/>
              </w:rPr>
            </w:pPr>
            <w:r>
              <w:rPr>
                <w:rFonts w:hint="eastAsia" w:ascii="宋体" w:hAnsi="宋体" w:eastAsia="宋体" w:cs="宋体"/>
                <w:b/>
                <w:bCs/>
                <w:color w:val="FFC000"/>
                <w:sz w:val="26"/>
                <w:szCs w:val="26"/>
              </w:rPr>
              <w:t>（具体方式依据项目金额和项目内容而定）</w:t>
            </w:r>
          </w:p>
          <w:p w14:paraId="114F8A59">
            <w:pPr>
              <w:spacing w:before="156" w:beforeLines="50" w:after="156" w:afterLines="50" w:line="480" w:lineRule="exact"/>
              <w:ind w:firstLine="522" w:firstLineChars="200"/>
              <w:rPr>
                <w:rFonts w:hint="eastAsia" w:ascii="宋体" w:hAnsi="宋体" w:eastAsia="宋体" w:cs="宋体"/>
                <w:b/>
                <w:bCs/>
                <w:color w:val="FFC000"/>
                <w:sz w:val="26"/>
                <w:szCs w:val="26"/>
              </w:rPr>
            </w:pPr>
            <w:r>
              <w:rPr>
                <w:rFonts w:hint="eastAsia" w:ascii="楷体_GB2312" w:hAnsi="楷体_GB2312" w:eastAsia="楷体_GB2312" w:cs="楷体_GB2312"/>
                <w:b/>
                <w:color w:val="auto"/>
                <w:sz w:val="26"/>
                <w:szCs w:val="26"/>
                <w:lang w:eastAsia="zh-CN"/>
              </w:rPr>
              <w:t>（</w:t>
            </w:r>
            <w:r>
              <w:rPr>
                <w:rFonts w:hint="eastAsia" w:ascii="楷体_GB2312" w:hAnsi="楷体_GB2312" w:eastAsia="楷体_GB2312" w:cs="楷体_GB2312"/>
                <w:b/>
                <w:color w:val="auto"/>
                <w:sz w:val="26"/>
                <w:szCs w:val="26"/>
                <w:lang w:val="en-US" w:eastAsia="zh-CN"/>
              </w:rPr>
              <w:t>四</w:t>
            </w:r>
            <w:r>
              <w:rPr>
                <w:rFonts w:hint="eastAsia" w:ascii="楷体_GB2312" w:hAnsi="楷体_GB2312" w:eastAsia="楷体_GB2312" w:cs="楷体_GB2312"/>
                <w:b/>
                <w:color w:val="auto"/>
                <w:sz w:val="26"/>
                <w:szCs w:val="26"/>
                <w:lang w:eastAsia="zh-CN"/>
              </w:rPr>
              <w:t>）</w:t>
            </w:r>
            <w:r>
              <w:rPr>
                <w:rFonts w:hint="eastAsia" w:ascii="楷体_GB2312" w:hAnsi="楷体_GB2312" w:eastAsia="楷体_GB2312" w:cs="楷体_GB2312"/>
                <w:b/>
                <w:color w:val="auto"/>
                <w:sz w:val="26"/>
                <w:szCs w:val="26"/>
              </w:rPr>
              <w:t>售后服务要求</w:t>
            </w:r>
            <w:r>
              <w:rPr>
                <w:rFonts w:hint="eastAsia" w:ascii="宋体" w:hAnsi="宋体" w:eastAsia="宋体" w:cs="宋体"/>
                <w:b/>
                <w:bCs/>
                <w:color w:val="FFC000"/>
                <w:sz w:val="26"/>
                <w:szCs w:val="26"/>
              </w:rPr>
              <w:t>（以下内容仅供参考，用户方应充分调研，依据项目实际情况，给出符合实际的售后服务要求）</w:t>
            </w:r>
          </w:p>
          <w:p w14:paraId="5A08D8B4">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lang w:val="en-US" w:eastAsia="zh-CN"/>
              </w:rPr>
              <w:t>1.安装、调试与培训</w:t>
            </w:r>
          </w:p>
          <w:p w14:paraId="402F9511">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lang w:val="en-US" w:eastAsia="zh-CN"/>
              </w:rPr>
            </w:pPr>
            <w:r>
              <w:rPr>
                <w:rFonts w:hint="eastAsia" w:ascii="仿宋_GB2312" w:hAnsi="仿宋_GB2312" w:eastAsia="仿宋_GB2312" w:cs="仿宋_GB2312"/>
                <w:b w:val="0"/>
                <w:bCs w:val="0"/>
                <w:color w:val="auto"/>
                <w:sz w:val="26"/>
                <w:szCs w:val="26"/>
                <w:lang w:val="en-US" w:eastAsia="zh-CN"/>
              </w:rPr>
              <w:t>（1）成交供应商负责运输费用，成交供应商负责派技术人员到现场进行安装、调试，直至验收合格，费用由成交供应商承担。</w:t>
            </w:r>
          </w:p>
          <w:p w14:paraId="1D68766D">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lang w:val="en-US" w:eastAsia="zh-CN"/>
              </w:rPr>
            </w:pPr>
            <w:r>
              <w:rPr>
                <w:rFonts w:hint="eastAsia" w:ascii="仿宋_GB2312" w:hAnsi="仿宋_GB2312" w:eastAsia="仿宋_GB2312" w:cs="仿宋_GB2312"/>
                <w:b w:val="0"/>
                <w:bCs w:val="0"/>
                <w:color w:val="auto"/>
                <w:sz w:val="26"/>
                <w:szCs w:val="26"/>
                <w:lang w:val="en-US" w:eastAsia="zh-CN"/>
              </w:rPr>
              <w:t>（2）成交供应商所投货物为正规合格产品，所有货物均为全新原厂原包装，不接受改装改配产品。货物的制造标准及技术规范等有关资料必须符合国家相关标准、规范要求。</w:t>
            </w:r>
          </w:p>
          <w:p w14:paraId="6903369B">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lang w:eastAsia="zh-CN"/>
              </w:rPr>
            </w:pPr>
            <w:r>
              <w:rPr>
                <w:rFonts w:hint="eastAsia" w:ascii="仿宋_GB2312" w:hAnsi="仿宋_GB2312" w:eastAsia="仿宋_GB2312" w:cs="仿宋_GB2312"/>
                <w:b w:val="0"/>
                <w:bCs w:val="0"/>
                <w:color w:val="auto"/>
                <w:sz w:val="26"/>
                <w:szCs w:val="26"/>
                <w:lang w:val="en-US" w:eastAsia="zh-CN"/>
              </w:rPr>
              <w:t>（3）成交供应商应负责将</w:t>
            </w:r>
            <w:r>
              <w:rPr>
                <w:rFonts w:hint="eastAsia" w:ascii="仿宋_GB2312" w:hAnsi="仿宋_GB2312" w:eastAsia="仿宋_GB2312" w:cs="仿宋_GB2312"/>
                <w:b w:val="0"/>
                <w:bCs w:val="0"/>
                <w:color w:val="auto"/>
                <w:sz w:val="26"/>
                <w:szCs w:val="26"/>
              </w:rPr>
              <w:t>合同内所有系统与设备出厂</w:t>
            </w:r>
            <w:r>
              <w:rPr>
                <w:rFonts w:hint="eastAsia" w:ascii="仿宋_GB2312" w:hAnsi="仿宋_GB2312" w:eastAsia="仿宋_GB2312" w:cs="仿宋_GB2312"/>
                <w:b w:val="0"/>
                <w:bCs w:val="0"/>
                <w:color w:val="auto"/>
                <w:sz w:val="26"/>
                <w:szCs w:val="26"/>
                <w:lang w:eastAsia="zh-CN"/>
              </w:rPr>
              <w:t>信息</w:t>
            </w:r>
            <w:r>
              <w:rPr>
                <w:rFonts w:hint="eastAsia" w:ascii="仿宋_GB2312" w:hAnsi="仿宋_GB2312" w:eastAsia="仿宋_GB2312" w:cs="仿宋_GB2312"/>
                <w:b w:val="0"/>
                <w:bCs w:val="0"/>
                <w:color w:val="auto"/>
                <w:sz w:val="26"/>
                <w:szCs w:val="26"/>
              </w:rPr>
              <w:t>登记成最终用户信息，供货可查询</w:t>
            </w:r>
            <w:r>
              <w:rPr>
                <w:rFonts w:hint="eastAsia" w:ascii="仿宋_GB2312" w:hAnsi="仿宋_GB2312" w:eastAsia="仿宋_GB2312" w:cs="仿宋_GB2312"/>
                <w:b w:val="0"/>
                <w:bCs w:val="0"/>
                <w:color w:val="auto"/>
                <w:sz w:val="26"/>
                <w:szCs w:val="26"/>
                <w:lang w:eastAsia="zh-CN"/>
              </w:rPr>
              <w:t>；</w:t>
            </w:r>
          </w:p>
          <w:p w14:paraId="3C5FEA19">
            <w:pPr>
              <w:keepNext w:val="0"/>
              <w:keepLines w:val="0"/>
              <w:pageBreakBefore w:val="0"/>
              <w:widowControl w:val="0"/>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lang w:val="en-US" w:eastAsia="zh-CN"/>
              </w:rPr>
              <w:t>4</w:t>
            </w:r>
            <w:r>
              <w:rPr>
                <w:rFonts w:hint="eastAsia" w:ascii="仿宋_GB2312" w:hAnsi="仿宋_GB2312" w:eastAsia="仿宋_GB2312" w:cs="仿宋_GB2312"/>
                <w:b w:val="0"/>
                <w:bCs w:val="0"/>
                <w:color w:val="auto"/>
                <w:sz w:val="26"/>
                <w:szCs w:val="26"/>
                <w:lang w:eastAsia="zh-CN"/>
              </w:rPr>
              <w:t>）成交供应商</w:t>
            </w:r>
            <w:r>
              <w:rPr>
                <w:rFonts w:hint="eastAsia" w:ascii="仿宋_GB2312" w:hAnsi="仿宋_GB2312" w:eastAsia="仿宋_GB2312" w:cs="仿宋_GB2312"/>
                <w:b w:val="0"/>
                <w:bCs w:val="0"/>
                <w:color w:val="auto"/>
                <w:sz w:val="26"/>
                <w:szCs w:val="26"/>
              </w:rPr>
              <w:t>应提供至少1名专业人员为采购人进行免费现场培训，主要包括设备和系统的功能、安装、调试、日常操作、运维、常见故障的排除、紧急情况的处理等。使采购人相关人员能掌握有关的基本原理、操作、维护和管理，达到能独立进行操作、日常维护等目标。</w:t>
            </w:r>
          </w:p>
          <w:p w14:paraId="516E77BF">
            <w:pPr>
              <w:pStyle w:val="4"/>
              <w:spacing w:line="480" w:lineRule="exact"/>
              <w:jc w:val="both"/>
              <w:rPr>
                <w:rFonts w:hint="default" w:eastAsia="仿宋_GB2312"/>
                <w:sz w:val="26"/>
                <w:szCs w:val="26"/>
                <w:lang w:val="en-US" w:eastAsia="zh-CN"/>
              </w:rPr>
            </w:pPr>
            <w:r>
              <w:rPr>
                <w:rFonts w:hint="eastAsia" w:ascii="仿宋_GB2312" w:hAnsi="仿宋_GB2312" w:eastAsia="仿宋_GB2312" w:cs="仿宋_GB2312"/>
                <w:b w:val="0"/>
                <w:bCs w:val="0"/>
                <w:color w:val="auto"/>
                <w:sz w:val="26"/>
                <w:szCs w:val="26"/>
                <w:lang w:val="en-US" w:eastAsia="zh-CN"/>
              </w:rPr>
              <w:t xml:space="preserve">    （5）成交供应商必须加强制作、运输及安装施工过程中的安全防护，在此过程中，如因成交供应商原因导致的双方及第三方的任何人身、设备安全事故及财产损失均由成交供应商负全责。</w:t>
            </w:r>
          </w:p>
          <w:p w14:paraId="73611901">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lang w:val="en-US" w:eastAsia="zh-CN"/>
              </w:rPr>
              <w:t>2.质保期限、范围：</w:t>
            </w:r>
          </w:p>
          <w:p w14:paraId="44432A4F">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lang w:val="en-US" w:eastAsia="zh-CN"/>
              </w:rPr>
              <w:t>1</w:t>
            </w:r>
            <w:r>
              <w:rPr>
                <w:rFonts w:hint="eastAsia" w:ascii="仿宋_GB2312" w:hAnsi="仿宋_GB2312" w:eastAsia="仿宋_GB2312" w:cs="仿宋_GB2312"/>
                <w:b w:val="0"/>
                <w:bCs w:val="0"/>
                <w:color w:val="auto"/>
                <w:sz w:val="26"/>
                <w:szCs w:val="26"/>
                <w:lang w:eastAsia="zh-CN"/>
              </w:rPr>
              <w:t>）成交供应商</w:t>
            </w:r>
            <w:r>
              <w:rPr>
                <w:rFonts w:hint="eastAsia" w:ascii="仿宋_GB2312" w:hAnsi="仿宋_GB2312" w:eastAsia="仿宋_GB2312" w:cs="仿宋_GB2312"/>
                <w:b w:val="0"/>
                <w:bCs w:val="0"/>
                <w:color w:val="auto"/>
                <w:sz w:val="26"/>
                <w:szCs w:val="26"/>
              </w:rPr>
              <w:t>对合同包内所有品目对应的系统与设备提供</w:t>
            </w:r>
            <w:r>
              <w:rPr>
                <w:rFonts w:hint="eastAsia" w:ascii="仿宋_GB2312" w:hAnsi="仿宋_GB2312" w:eastAsia="仿宋_GB2312" w:cs="仿宋_GB2312"/>
                <w:b w:val="0"/>
                <w:bCs w:val="0"/>
                <w:color w:val="auto"/>
                <w:sz w:val="26"/>
                <w:szCs w:val="26"/>
                <w:u w:val="single"/>
              </w:rPr>
              <w:t>三年</w:t>
            </w:r>
            <w:r>
              <w:rPr>
                <w:rFonts w:hint="eastAsia" w:ascii="仿宋_GB2312" w:hAnsi="仿宋_GB2312" w:eastAsia="仿宋_GB2312" w:cs="仿宋_GB2312"/>
                <w:b w:val="0"/>
                <w:bCs w:val="0"/>
                <w:color w:val="auto"/>
                <w:sz w:val="26"/>
                <w:szCs w:val="26"/>
              </w:rPr>
              <w:t>原厂保修（验收合格之日起计算）。</w:t>
            </w:r>
            <w:r>
              <w:rPr>
                <w:rFonts w:hint="eastAsia" w:ascii="仿宋_GB2312" w:hAnsi="仿宋_GB2312" w:eastAsia="仿宋_GB2312" w:cs="仿宋_GB2312"/>
                <w:b w:val="0"/>
                <w:bCs w:val="0"/>
                <w:color w:val="auto"/>
                <w:sz w:val="26"/>
                <w:szCs w:val="26"/>
                <w:lang w:val="en-US" w:eastAsia="zh-CN"/>
              </w:rPr>
              <w:t>质保期内</w:t>
            </w:r>
            <w:r>
              <w:rPr>
                <w:rFonts w:hint="eastAsia" w:ascii="仿宋_GB2312" w:hAnsi="仿宋_GB2312" w:eastAsia="仿宋_GB2312" w:cs="仿宋_GB2312"/>
                <w:b w:val="0"/>
                <w:bCs w:val="0"/>
                <w:color w:val="auto"/>
                <w:sz w:val="26"/>
                <w:szCs w:val="26"/>
              </w:rPr>
              <w:t>免费提供现场支持或远程支持，远程支持和现场支持次数不限。</w:t>
            </w:r>
          </w:p>
          <w:p w14:paraId="7CD9B1F1">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lang w:val="en-US" w:eastAsia="zh-CN"/>
              </w:rPr>
              <w:t>2</w:t>
            </w: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rPr>
              <w:t>在</w:t>
            </w:r>
            <w:r>
              <w:rPr>
                <w:rFonts w:hint="eastAsia" w:ascii="仿宋_GB2312" w:hAnsi="仿宋_GB2312" w:eastAsia="仿宋_GB2312" w:cs="仿宋_GB2312"/>
                <w:b w:val="0"/>
                <w:bCs w:val="0"/>
                <w:color w:val="auto"/>
                <w:sz w:val="26"/>
                <w:szCs w:val="26"/>
                <w:lang w:val="en-US" w:eastAsia="zh-CN"/>
              </w:rPr>
              <w:t>质保期</w:t>
            </w:r>
            <w:r>
              <w:rPr>
                <w:rFonts w:hint="eastAsia" w:ascii="仿宋_GB2312" w:hAnsi="仿宋_GB2312" w:eastAsia="仿宋_GB2312" w:cs="仿宋_GB2312"/>
                <w:b w:val="0"/>
                <w:bCs w:val="0"/>
                <w:color w:val="auto"/>
                <w:sz w:val="26"/>
                <w:szCs w:val="26"/>
              </w:rPr>
              <w:t>内设备若发生非人为故障，</w:t>
            </w:r>
            <w:r>
              <w:rPr>
                <w:rFonts w:hint="eastAsia" w:ascii="仿宋_GB2312" w:hAnsi="仿宋_GB2312" w:eastAsia="仿宋_GB2312" w:cs="仿宋_GB2312"/>
                <w:b w:val="0"/>
                <w:bCs w:val="0"/>
                <w:color w:val="auto"/>
                <w:sz w:val="26"/>
                <w:szCs w:val="26"/>
                <w:lang w:val="en-US" w:eastAsia="zh-CN"/>
              </w:rPr>
              <w:t>成交供应商</w:t>
            </w:r>
            <w:r>
              <w:rPr>
                <w:rFonts w:hint="eastAsia" w:ascii="仿宋_GB2312" w:hAnsi="仿宋_GB2312" w:eastAsia="仿宋_GB2312" w:cs="仿宋_GB2312"/>
                <w:b w:val="0"/>
                <w:bCs w:val="0"/>
                <w:color w:val="auto"/>
                <w:sz w:val="26"/>
                <w:szCs w:val="26"/>
              </w:rPr>
              <w:t>应免费上门检修维护，免费更换零部件。</w:t>
            </w:r>
            <w:r>
              <w:rPr>
                <w:rFonts w:hint="eastAsia" w:ascii="仿宋_GB2312" w:hAnsi="仿宋_GB2312" w:eastAsia="仿宋_GB2312" w:cs="仿宋_GB2312"/>
                <w:b w:val="0"/>
                <w:bCs w:val="0"/>
                <w:color w:val="auto"/>
                <w:sz w:val="26"/>
                <w:szCs w:val="26"/>
                <w:lang w:eastAsia="zh-CN"/>
              </w:rPr>
              <w:t>成交供应商</w:t>
            </w:r>
            <w:r>
              <w:rPr>
                <w:rFonts w:hint="eastAsia" w:ascii="仿宋_GB2312" w:hAnsi="仿宋_GB2312" w:eastAsia="仿宋_GB2312" w:cs="仿宋_GB2312"/>
                <w:b w:val="0"/>
                <w:bCs w:val="0"/>
                <w:color w:val="auto"/>
                <w:sz w:val="26"/>
                <w:szCs w:val="26"/>
              </w:rPr>
              <w:t>在接到采购人故障通知后应在</w:t>
            </w:r>
            <w:r>
              <w:rPr>
                <w:rFonts w:hint="eastAsia" w:ascii="仿宋_GB2312" w:hAnsi="仿宋_GB2312" w:eastAsia="仿宋_GB2312" w:cs="仿宋_GB2312"/>
                <w:b w:val="0"/>
                <w:bCs w:val="0"/>
                <w:color w:val="auto"/>
                <w:sz w:val="26"/>
                <w:szCs w:val="26"/>
                <w:lang w:val="en-US" w:eastAsia="zh-CN"/>
              </w:rPr>
              <w:t>30分钟</w:t>
            </w:r>
            <w:r>
              <w:rPr>
                <w:rFonts w:hint="eastAsia" w:ascii="仿宋_GB2312" w:hAnsi="仿宋_GB2312" w:eastAsia="仿宋_GB2312" w:cs="仿宋_GB2312"/>
                <w:b w:val="0"/>
                <w:bCs w:val="0"/>
                <w:color w:val="auto"/>
                <w:sz w:val="26"/>
                <w:szCs w:val="26"/>
              </w:rPr>
              <w:t>内作出电话响应，在</w:t>
            </w:r>
            <w:r>
              <w:rPr>
                <w:rFonts w:hint="eastAsia" w:ascii="仿宋_GB2312" w:hAnsi="仿宋_GB2312" w:eastAsia="仿宋_GB2312" w:cs="仿宋_GB2312"/>
                <w:b w:val="0"/>
                <w:bCs w:val="0"/>
                <w:color w:val="auto"/>
                <w:sz w:val="26"/>
                <w:szCs w:val="26"/>
                <w:lang w:val="en-US" w:eastAsia="zh-CN"/>
              </w:rPr>
              <w:t>24小时</w:t>
            </w:r>
            <w:r>
              <w:rPr>
                <w:rFonts w:hint="eastAsia" w:ascii="仿宋_GB2312" w:hAnsi="仿宋_GB2312" w:eastAsia="仿宋_GB2312" w:cs="仿宋_GB2312"/>
                <w:b w:val="0"/>
                <w:bCs w:val="0"/>
                <w:color w:val="auto"/>
                <w:sz w:val="26"/>
                <w:szCs w:val="26"/>
              </w:rPr>
              <w:t>内给予解决方案并委派专业技术人员到达现场</w:t>
            </w: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rPr>
              <w:t>逾期采购人有权另请他人维修，费用由</w:t>
            </w:r>
            <w:r>
              <w:rPr>
                <w:rFonts w:hint="eastAsia" w:ascii="仿宋_GB2312" w:hAnsi="仿宋_GB2312" w:eastAsia="仿宋_GB2312" w:cs="仿宋_GB2312"/>
                <w:b w:val="0"/>
                <w:bCs w:val="0"/>
                <w:color w:val="auto"/>
                <w:sz w:val="26"/>
                <w:szCs w:val="26"/>
                <w:lang w:eastAsia="zh-CN"/>
              </w:rPr>
              <w:t>成交供应商</w:t>
            </w:r>
            <w:r>
              <w:rPr>
                <w:rFonts w:hint="eastAsia" w:ascii="仿宋_GB2312" w:hAnsi="仿宋_GB2312" w:eastAsia="仿宋_GB2312" w:cs="仿宋_GB2312"/>
                <w:b w:val="0"/>
                <w:bCs w:val="0"/>
                <w:color w:val="auto"/>
                <w:sz w:val="26"/>
                <w:szCs w:val="26"/>
              </w:rPr>
              <w:t>承担</w:t>
            </w: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rPr>
              <w:t>，免费提供咨询、维修和更换零部件等服务，</w:t>
            </w:r>
            <w:r>
              <w:rPr>
                <w:rFonts w:hint="eastAsia" w:ascii="仿宋_GB2312" w:hAnsi="仿宋_GB2312" w:eastAsia="仿宋_GB2312" w:cs="仿宋_GB2312"/>
                <w:b w:val="0"/>
                <w:bCs w:val="0"/>
                <w:color w:val="auto"/>
                <w:sz w:val="26"/>
                <w:szCs w:val="26"/>
                <w:lang w:val="en-US" w:eastAsia="zh-CN"/>
              </w:rPr>
              <w:t>若</w:t>
            </w:r>
            <w:r>
              <w:rPr>
                <w:rFonts w:hint="eastAsia" w:ascii="仿宋_GB2312" w:hAnsi="仿宋_GB2312" w:eastAsia="仿宋_GB2312" w:cs="仿宋_GB2312"/>
                <w:b w:val="0"/>
                <w:bCs w:val="0"/>
                <w:color w:val="auto"/>
                <w:sz w:val="26"/>
                <w:szCs w:val="26"/>
              </w:rPr>
              <w:t>在</w:t>
            </w:r>
            <w:r>
              <w:rPr>
                <w:rFonts w:hint="eastAsia" w:ascii="仿宋_GB2312" w:hAnsi="仿宋_GB2312" w:eastAsia="仿宋_GB2312" w:cs="仿宋_GB2312"/>
                <w:b w:val="0"/>
                <w:bCs w:val="0"/>
                <w:color w:val="auto"/>
                <w:sz w:val="26"/>
                <w:szCs w:val="26"/>
                <w:lang w:val="en-US" w:eastAsia="zh-CN"/>
              </w:rPr>
              <w:t>24小时</w:t>
            </w:r>
            <w:r>
              <w:rPr>
                <w:rFonts w:hint="eastAsia" w:ascii="仿宋_GB2312" w:hAnsi="仿宋_GB2312" w:eastAsia="仿宋_GB2312" w:cs="仿宋_GB2312"/>
                <w:b w:val="0"/>
                <w:bCs w:val="0"/>
                <w:color w:val="auto"/>
                <w:sz w:val="26"/>
                <w:szCs w:val="26"/>
              </w:rPr>
              <w:t>内无法及时排除故障，</w:t>
            </w:r>
            <w:r>
              <w:rPr>
                <w:rFonts w:hint="eastAsia" w:ascii="仿宋_GB2312" w:hAnsi="仿宋_GB2312" w:eastAsia="仿宋_GB2312" w:cs="仿宋_GB2312"/>
                <w:b w:val="0"/>
                <w:bCs w:val="0"/>
                <w:color w:val="auto"/>
                <w:sz w:val="26"/>
                <w:szCs w:val="26"/>
                <w:lang w:val="en-US" w:eastAsia="zh-CN"/>
              </w:rPr>
              <w:t>成交供应商</w:t>
            </w:r>
            <w:r>
              <w:rPr>
                <w:rFonts w:hint="eastAsia" w:ascii="仿宋_GB2312" w:hAnsi="仿宋_GB2312" w:eastAsia="仿宋_GB2312" w:cs="仿宋_GB2312"/>
                <w:b w:val="0"/>
                <w:bCs w:val="0"/>
                <w:color w:val="auto"/>
                <w:sz w:val="26"/>
                <w:szCs w:val="26"/>
              </w:rPr>
              <w:t>应提供</w:t>
            </w:r>
            <w:r>
              <w:rPr>
                <w:rFonts w:hint="eastAsia" w:ascii="仿宋_GB2312" w:hAnsi="仿宋_GB2312" w:eastAsia="仿宋_GB2312" w:cs="仿宋_GB2312"/>
                <w:b w:val="0"/>
                <w:bCs w:val="0"/>
                <w:color w:val="auto"/>
                <w:sz w:val="26"/>
                <w:szCs w:val="26"/>
                <w:lang w:val="en-US" w:eastAsia="zh-CN"/>
              </w:rPr>
              <w:t>替代设备</w:t>
            </w:r>
            <w:r>
              <w:rPr>
                <w:rFonts w:hint="eastAsia" w:ascii="仿宋_GB2312" w:hAnsi="仿宋_GB2312" w:eastAsia="仿宋_GB2312" w:cs="仿宋_GB2312"/>
                <w:b w:val="0"/>
                <w:bCs w:val="0"/>
                <w:color w:val="auto"/>
                <w:sz w:val="26"/>
                <w:szCs w:val="26"/>
              </w:rPr>
              <w:t>以保证正常运行，其费用由</w:t>
            </w:r>
            <w:r>
              <w:rPr>
                <w:rFonts w:hint="eastAsia" w:ascii="仿宋_GB2312" w:hAnsi="仿宋_GB2312" w:eastAsia="仿宋_GB2312" w:cs="仿宋_GB2312"/>
                <w:b w:val="0"/>
                <w:bCs w:val="0"/>
                <w:color w:val="auto"/>
                <w:sz w:val="26"/>
                <w:szCs w:val="26"/>
                <w:lang w:eastAsia="zh-CN"/>
              </w:rPr>
              <w:t>成交供应商</w:t>
            </w:r>
            <w:r>
              <w:rPr>
                <w:rFonts w:hint="eastAsia" w:ascii="仿宋_GB2312" w:hAnsi="仿宋_GB2312" w:eastAsia="仿宋_GB2312" w:cs="仿宋_GB2312"/>
                <w:b w:val="0"/>
                <w:bCs w:val="0"/>
                <w:color w:val="auto"/>
                <w:sz w:val="26"/>
                <w:szCs w:val="26"/>
              </w:rPr>
              <w:t>承担</w:t>
            </w: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rPr>
              <w:t>故障维修响应时间内未到达现场进行维修者，采购方可自行委托相关企业进行维修，所需费用由</w:t>
            </w:r>
            <w:r>
              <w:rPr>
                <w:rFonts w:hint="eastAsia" w:ascii="仿宋_GB2312" w:hAnsi="仿宋_GB2312" w:eastAsia="仿宋_GB2312" w:cs="仿宋_GB2312"/>
                <w:b w:val="0"/>
                <w:bCs w:val="0"/>
                <w:color w:val="auto"/>
                <w:sz w:val="26"/>
                <w:szCs w:val="26"/>
                <w:lang w:val="en-US" w:eastAsia="zh-CN"/>
              </w:rPr>
              <w:t>成交供应商</w:t>
            </w:r>
            <w:r>
              <w:rPr>
                <w:rFonts w:hint="eastAsia" w:ascii="仿宋_GB2312" w:hAnsi="仿宋_GB2312" w:eastAsia="仿宋_GB2312" w:cs="仿宋_GB2312"/>
                <w:b w:val="0"/>
                <w:bCs w:val="0"/>
                <w:color w:val="auto"/>
                <w:sz w:val="26"/>
                <w:szCs w:val="26"/>
              </w:rPr>
              <w:t>承担。</w:t>
            </w:r>
            <w:r>
              <w:rPr>
                <w:rFonts w:hint="eastAsia" w:ascii="仿宋_GB2312" w:hAnsi="仿宋_GB2312" w:eastAsia="仿宋_GB2312" w:cs="仿宋_GB2312"/>
                <w:b w:val="0"/>
                <w:bCs w:val="0"/>
                <w:color w:val="auto"/>
                <w:sz w:val="26"/>
                <w:szCs w:val="26"/>
                <w:lang w:val="en-US" w:eastAsia="zh-CN"/>
              </w:rPr>
              <w:t>质保期</w:t>
            </w:r>
            <w:r>
              <w:rPr>
                <w:rFonts w:hint="eastAsia" w:ascii="仿宋_GB2312" w:hAnsi="仿宋_GB2312" w:eastAsia="仿宋_GB2312" w:cs="仿宋_GB2312"/>
                <w:b w:val="0"/>
                <w:bCs w:val="0"/>
                <w:color w:val="auto"/>
                <w:sz w:val="26"/>
                <w:szCs w:val="26"/>
              </w:rPr>
              <w:t>内同一故障发生三次，或在一周内无法修复，</w:t>
            </w:r>
            <w:r>
              <w:rPr>
                <w:rFonts w:hint="eastAsia" w:ascii="仿宋_GB2312" w:hAnsi="仿宋_GB2312" w:eastAsia="仿宋_GB2312" w:cs="仿宋_GB2312"/>
                <w:b w:val="0"/>
                <w:bCs w:val="0"/>
                <w:color w:val="auto"/>
                <w:sz w:val="26"/>
                <w:szCs w:val="26"/>
                <w:lang w:eastAsia="zh-CN"/>
              </w:rPr>
              <w:t>成交供应商</w:t>
            </w:r>
            <w:r>
              <w:rPr>
                <w:rFonts w:hint="eastAsia" w:ascii="仿宋_GB2312" w:hAnsi="仿宋_GB2312" w:eastAsia="仿宋_GB2312" w:cs="仿宋_GB2312"/>
                <w:b w:val="0"/>
                <w:bCs w:val="0"/>
                <w:color w:val="auto"/>
                <w:sz w:val="26"/>
                <w:szCs w:val="26"/>
              </w:rPr>
              <w:t>应无条件更换零配件或设备。</w:t>
            </w:r>
          </w:p>
          <w:p w14:paraId="04B382AA">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lang w:val="en-US" w:eastAsia="zh-CN"/>
              </w:rPr>
            </w:pPr>
            <w:r>
              <w:rPr>
                <w:rFonts w:hint="eastAsia" w:ascii="仿宋_GB2312" w:hAnsi="仿宋_GB2312" w:eastAsia="仿宋_GB2312" w:cs="仿宋_GB2312"/>
                <w:b w:val="0"/>
                <w:bCs w:val="0"/>
                <w:color w:val="auto"/>
                <w:sz w:val="26"/>
                <w:szCs w:val="26"/>
                <w:lang w:val="en-US" w:eastAsia="zh-CN"/>
              </w:rPr>
              <w:t>（3）在质保期内</w:t>
            </w:r>
            <w:r>
              <w:rPr>
                <w:rFonts w:hint="eastAsia" w:ascii="仿宋_GB2312" w:hAnsi="仿宋_GB2312" w:eastAsia="仿宋_GB2312" w:cs="仿宋_GB2312"/>
                <w:b w:val="0"/>
                <w:bCs w:val="0"/>
                <w:color w:val="auto"/>
                <w:sz w:val="26"/>
                <w:szCs w:val="26"/>
                <w:lang w:eastAsia="zh-CN"/>
              </w:rPr>
              <w:t>成交供应商</w:t>
            </w:r>
            <w:r>
              <w:rPr>
                <w:rFonts w:hint="eastAsia" w:ascii="仿宋_GB2312" w:hAnsi="仿宋_GB2312" w:eastAsia="仿宋_GB2312" w:cs="仿宋_GB2312"/>
                <w:b w:val="0"/>
                <w:bCs w:val="0"/>
                <w:color w:val="auto"/>
                <w:sz w:val="26"/>
                <w:szCs w:val="26"/>
                <w:lang w:val="en-US" w:eastAsia="zh-CN"/>
              </w:rPr>
              <w:t>应免费</w:t>
            </w:r>
            <w:r>
              <w:rPr>
                <w:rFonts w:hint="eastAsia" w:ascii="仿宋_GB2312" w:hAnsi="仿宋_GB2312" w:eastAsia="仿宋_GB2312" w:cs="仿宋_GB2312"/>
                <w:b w:val="0"/>
                <w:bCs w:val="0"/>
                <w:color w:val="auto"/>
                <w:sz w:val="26"/>
                <w:szCs w:val="26"/>
              </w:rPr>
              <w:t>提供系统与设备固件的升级服务</w:t>
            </w: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rPr>
              <w:t>网络健康性检查服务</w:t>
            </w: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rPr>
              <w:t>定期、不定期的客户巡检服务</w:t>
            </w:r>
            <w:r>
              <w:rPr>
                <w:rFonts w:hint="eastAsia" w:ascii="仿宋_GB2312" w:hAnsi="仿宋_GB2312" w:eastAsia="仿宋_GB2312" w:cs="仿宋_GB2312"/>
                <w:b w:val="0"/>
                <w:bCs w:val="0"/>
                <w:color w:val="auto"/>
                <w:sz w:val="26"/>
                <w:szCs w:val="26"/>
                <w:lang w:val="en-US" w:eastAsia="zh-CN"/>
              </w:rPr>
              <w:t>等。</w:t>
            </w:r>
          </w:p>
          <w:p w14:paraId="68175269">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lang w:val="en-US" w:eastAsia="zh-CN"/>
              </w:rPr>
            </w:pPr>
            <w:r>
              <w:rPr>
                <w:rFonts w:hint="eastAsia" w:ascii="仿宋_GB2312" w:hAnsi="仿宋_GB2312" w:eastAsia="仿宋_GB2312" w:cs="仿宋_GB2312"/>
                <w:b w:val="0"/>
                <w:bCs w:val="0"/>
                <w:color w:val="auto"/>
                <w:sz w:val="26"/>
                <w:szCs w:val="26"/>
                <w:lang w:val="en-US" w:eastAsia="zh-CN"/>
              </w:rPr>
              <w:t>（4）成交供应商应为</w:t>
            </w:r>
            <w:r>
              <w:rPr>
                <w:rFonts w:hint="eastAsia" w:ascii="仿宋_GB2312" w:hAnsi="仿宋_GB2312" w:eastAsia="仿宋_GB2312" w:cs="仿宋_GB2312"/>
                <w:b w:val="0"/>
                <w:bCs w:val="0"/>
                <w:color w:val="auto"/>
                <w:sz w:val="26"/>
                <w:szCs w:val="26"/>
              </w:rPr>
              <w:t>本项目提供项目工程师1名，售后工程师2名，专门处理售后服务工作。</w:t>
            </w:r>
          </w:p>
          <w:p w14:paraId="2B9FC4CB">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lang w:val="en-US" w:eastAsia="zh-CN"/>
              </w:rPr>
              <w:t>5</w:t>
            </w: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rPr>
              <w:t>免费保修期满前1个月：</w:t>
            </w:r>
            <w:r>
              <w:rPr>
                <w:rFonts w:hint="eastAsia" w:ascii="仿宋_GB2312" w:hAnsi="仿宋_GB2312" w:eastAsia="仿宋_GB2312" w:cs="仿宋_GB2312"/>
                <w:b w:val="0"/>
                <w:bCs w:val="0"/>
                <w:color w:val="auto"/>
                <w:sz w:val="26"/>
                <w:szCs w:val="26"/>
                <w:lang w:eastAsia="zh-CN"/>
              </w:rPr>
              <w:t>成交供应商</w:t>
            </w:r>
            <w:r>
              <w:rPr>
                <w:rFonts w:hint="eastAsia" w:ascii="仿宋_GB2312" w:hAnsi="仿宋_GB2312" w:eastAsia="仿宋_GB2312" w:cs="仿宋_GB2312"/>
                <w:b w:val="0"/>
                <w:bCs w:val="0"/>
                <w:color w:val="auto"/>
                <w:sz w:val="26"/>
                <w:szCs w:val="26"/>
              </w:rPr>
              <w:t>应对系统与设备进行一次免费全面检查，排除潜在问题，保证设备正常运行。</w:t>
            </w:r>
          </w:p>
          <w:p w14:paraId="63A3296C">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lang w:val="en-US" w:eastAsia="zh-CN"/>
              </w:rPr>
              <w:t>3.</w:t>
            </w:r>
            <w:r>
              <w:rPr>
                <w:rFonts w:hint="eastAsia" w:ascii="仿宋_GB2312" w:hAnsi="仿宋_GB2312" w:eastAsia="仿宋_GB2312" w:cs="仿宋_GB2312"/>
                <w:b w:val="0"/>
                <w:bCs w:val="0"/>
                <w:color w:val="auto"/>
                <w:sz w:val="26"/>
                <w:szCs w:val="26"/>
              </w:rPr>
              <w:t>质保期后：质保期结束后，如采购人有需要，</w:t>
            </w:r>
            <w:r>
              <w:rPr>
                <w:rFonts w:hint="eastAsia" w:ascii="仿宋_GB2312" w:hAnsi="仿宋_GB2312" w:eastAsia="仿宋_GB2312" w:cs="仿宋_GB2312"/>
                <w:b w:val="0"/>
                <w:bCs w:val="0"/>
                <w:color w:val="auto"/>
                <w:sz w:val="26"/>
                <w:szCs w:val="26"/>
                <w:lang w:eastAsia="zh-CN"/>
              </w:rPr>
              <w:t>成交供应商</w:t>
            </w:r>
            <w:r>
              <w:rPr>
                <w:rFonts w:hint="eastAsia" w:ascii="仿宋_GB2312" w:hAnsi="仿宋_GB2312" w:eastAsia="仿宋_GB2312" w:cs="仿宋_GB2312"/>
                <w:b w:val="0"/>
                <w:bCs w:val="0"/>
                <w:color w:val="auto"/>
                <w:sz w:val="26"/>
                <w:szCs w:val="26"/>
              </w:rPr>
              <w:t>应继续对系统和设备提供维护和修理服务</w:t>
            </w: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rPr>
              <w:t>系统</w:t>
            </w:r>
            <w:r>
              <w:rPr>
                <w:rFonts w:hint="eastAsia" w:ascii="仿宋_GB2312" w:hAnsi="仿宋_GB2312" w:eastAsia="仿宋_GB2312" w:cs="仿宋_GB2312"/>
                <w:b w:val="0"/>
                <w:bCs w:val="0"/>
                <w:color w:val="auto"/>
                <w:sz w:val="26"/>
                <w:szCs w:val="26"/>
                <w:lang w:val="en-US" w:eastAsia="zh-CN"/>
              </w:rPr>
              <w:t>和设备</w:t>
            </w:r>
            <w:r>
              <w:rPr>
                <w:rFonts w:hint="eastAsia" w:ascii="仿宋_GB2312" w:hAnsi="仿宋_GB2312" w:eastAsia="仿宋_GB2312" w:cs="仿宋_GB2312"/>
                <w:b w:val="0"/>
                <w:bCs w:val="0"/>
                <w:color w:val="auto"/>
                <w:sz w:val="26"/>
                <w:szCs w:val="26"/>
              </w:rPr>
              <w:t>出现故障，</w:t>
            </w:r>
            <w:r>
              <w:rPr>
                <w:rFonts w:hint="eastAsia" w:ascii="仿宋_GB2312" w:hAnsi="仿宋_GB2312" w:eastAsia="仿宋_GB2312" w:cs="仿宋_GB2312"/>
                <w:b w:val="0"/>
                <w:bCs w:val="0"/>
                <w:color w:val="auto"/>
                <w:sz w:val="26"/>
                <w:szCs w:val="26"/>
                <w:lang w:eastAsia="zh-CN"/>
              </w:rPr>
              <w:t>成交供应商</w:t>
            </w:r>
            <w:r>
              <w:rPr>
                <w:rFonts w:hint="eastAsia" w:ascii="仿宋_GB2312" w:hAnsi="仿宋_GB2312" w:eastAsia="仿宋_GB2312" w:cs="仿宋_GB2312"/>
                <w:b w:val="0"/>
                <w:bCs w:val="0"/>
                <w:color w:val="auto"/>
                <w:sz w:val="26"/>
                <w:szCs w:val="26"/>
                <w:lang w:val="en-US" w:eastAsia="zh-CN"/>
              </w:rPr>
              <w:t>应在2个小时内作出响应，</w:t>
            </w:r>
            <w:r>
              <w:rPr>
                <w:rFonts w:hint="eastAsia" w:ascii="仿宋_GB2312" w:hAnsi="仿宋_GB2312" w:eastAsia="仿宋_GB2312" w:cs="仿宋_GB2312"/>
                <w:b w:val="0"/>
                <w:bCs w:val="0"/>
                <w:color w:val="auto"/>
                <w:sz w:val="26"/>
                <w:szCs w:val="26"/>
              </w:rPr>
              <w:t>在24小时内到达</w:t>
            </w:r>
            <w:r>
              <w:rPr>
                <w:rFonts w:hint="eastAsia" w:ascii="仿宋_GB2312" w:hAnsi="仿宋_GB2312" w:eastAsia="仿宋_GB2312" w:cs="仿宋_GB2312"/>
                <w:b w:val="0"/>
                <w:bCs w:val="0"/>
                <w:color w:val="auto"/>
                <w:sz w:val="26"/>
                <w:szCs w:val="26"/>
                <w:lang w:val="en-US" w:eastAsia="zh-CN"/>
              </w:rPr>
              <w:t>现场</w:t>
            </w:r>
            <w:r>
              <w:rPr>
                <w:rFonts w:hint="eastAsia" w:ascii="仿宋_GB2312" w:hAnsi="仿宋_GB2312" w:eastAsia="仿宋_GB2312" w:cs="仿宋_GB2312"/>
                <w:b w:val="0"/>
                <w:bCs w:val="0"/>
                <w:color w:val="auto"/>
                <w:sz w:val="26"/>
                <w:szCs w:val="26"/>
              </w:rPr>
              <w:t>，48小时内排除故障</w:t>
            </w: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rPr>
              <w:t>不收取上门服务费，只收取</w:t>
            </w:r>
            <w:r>
              <w:rPr>
                <w:rFonts w:hint="eastAsia" w:ascii="仿宋_GB2312" w:hAnsi="仿宋_GB2312" w:eastAsia="仿宋_GB2312" w:cs="仿宋_GB2312"/>
                <w:b w:val="0"/>
                <w:bCs w:val="0"/>
                <w:color w:val="auto"/>
                <w:sz w:val="26"/>
                <w:szCs w:val="26"/>
                <w:lang w:val="en-US" w:eastAsia="zh-CN"/>
              </w:rPr>
              <w:t>更换零配件的</w:t>
            </w:r>
            <w:r>
              <w:rPr>
                <w:rFonts w:hint="eastAsia" w:ascii="仿宋_GB2312" w:hAnsi="仿宋_GB2312" w:eastAsia="仿宋_GB2312" w:cs="仿宋_GB2312"/>
                <w:b w:val="0"/>
                <w:bCs w:val="0"/>
                <w:color w:val="auto"/>
                <w:sz w:val="26"/>
                <w:szCs w:val="26"/>
              </w:rPr>
              <w:t>合理维修成本费。</w:t>
            </w:r>
          </w:p>
          <w:p w14:paraId="053FA7CF">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lang w:val="en-US" w:eastAsia="zh-CN"/>
              </w:rPr>
              <w:t>4.</w:t>
            </w:r>
            <w:r>
              <w:rPr>
                <w:rFonts w:hint="eastAsia" w:ascii="仿宋_GB2312" w:hAnsi="仿宋_GB2312" w:eastAsia="仿宋_GB2312" w:cs="仿宋_GB2312"/>
                <w:b w:val="0"/>
                <w:bCs w:val="0"/>
                <w:color w:val="auto"/>
                <w:sz w:val="26"/>
                <w:szCs w:val="26"/>
              </w:rPr>
              <w:t>各</w:t>
            </w:r>
            <w:r>
              <w:rPr>
                <w:rFonts w:hint="eastAsia" w:ascii="仿宋_GB2312" w:hAnsi="仿宋_GB2312" w:eastAsia="仿宋_GB2312" w:cs="仿宋_GB2312"/>
                <w:b w:val="0"/>
                <w:bCs w:val="0"/>
                <w:color w:val="auto"/>
                <w:sz w:val="26"/>
                <w:szCs w:val="26"/>
                <w:lang w:eastAsia="zh-CN"/>
              </w:rPr>
              <w:t>报价人</w:t>
            </w:r>
            <w:r>
              <w:rPr>
                <w:rFonts w:hint="eastAsia" w:ascii="仿宋_GB2312" w:hAnsi="仿宋_GB2312" w:eastAsia="仿宋_GB2312" w:cs="仿宋_GB2312"/>
                <w:b w:val="0"/>
                <w:bCs w:val="0"/>
                <w:color w:val="auto"/>
                <w:sz w:val="26"/>
                <w:szCs w:val="26"/>
              </w:rPr>
              <w:t>可视自身能力在报价中提供更优、更合理的维修服务承诺。</w:t>
            </w:r>
          </w:p>
          <w:p w14:paraId="702BAC0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firstLine="522" w:firstLineChars="200"/>
              <w:jc w:val="left"/>
              <w:textAlignment w:val="auto"/>
              <w:rPr>
                <w:rFonts w:hint="eastAsia" w:ascii="楷体_GB2312" w:hAnsi="楷体_GB2312" w:eastAsia="楷体_GB2312" w:cs="楷体_GB2312"/>
                <w:b/>
                <w:bCs/>
                <w:color w:val="auto"/>
                <w:sz w:val="26"/>
                <w:szCs w:val="26"/>
              </w:rPr>
            </w:pPr>
            <w:r>
              <w:rPr>
                <w:rFonts w:hint="eastAsia" w:ascii="楷体_GB2312" w:hAnsi="楷体_GB2312" w:eastAsia="楷体_GB2312" w:cs="楷体_GB2312"/>
                <w:b/>
                <w:bCs/>
                <w:color w:val="auto"/>
                <w:sz w:val="26"/>
                <w:szCs w:val="26"/>
              </w:rPr>
              <w:t>（</w:t>
            </w:r>
            <w:r>
              <w:rPr>
                <w:rFonts w:hint="eastAsia" w:ascii="楷体_GB2312" w:hAnsi="楷体_GB2312" w:eastAsia="楷体_GB2312" w:cs="楷体_GB2312"/>
                <w:b/>
                <w:bCs/>
                <w:color w:val="auto"/>
                <w:sz w:val="26"/>
                <w:szCs w:val="26"/>
                <w:lang w:val="en-US" w:eastAsia="zh-CN"/>
              </w:rPr>
              <w:t>五</w:t>
            </w:r>
            <w:r>
              <w:rPr>
                <w:rFonts w:hint="eastAsia" w:ascii="楷体_GB2312" w:hAnsi="楷体_GB2312" w:eastAsia="楷体_GB2312" w:cs="楷体_GB2312"/>
                <w:b/>
                <w:bCs/>
                <w:color w:val="auto"/>
                <w:sz w:val="26"/>
                <w:szCs w:val="26"/>
              </w:rPr>
              <w:t>）验收</w:t>
            </w:r>
          </w:p>
          <w:p w14:paraId="0D732F9C">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left="0"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lang w:val="en-US" w:eastAsia="zh-CN"/>
              </w:rPr>
              <w:t>1.</w:t>
            </w:r>
            <w:r>
              <w:rPr>
                <w:rFonts w:hint="eastAsia" w:ascii="仿宋_GB2312" w:hAnsi="仿宋_GB2312" w:eastAsia="仿宋_GB2312" w:cs="仿宋_GB2312"/>
                <w:b w:val="0"/>
                <w:bCs w:val="0"/>
                <w:color w:val="auto"/>
                <w:sz w:val="26"/>
                <w:szCs w:val="26"/>
              </w:rPr>
              <w:t>验收标准</w:t>
            </w:r>
          </w:p>
          <w:p w14:paraId="17B77593">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left="0"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rPr>
              <w:t>货物应按生产厂家的产品出厂检验标准、询价通知书、设计文件以及国家和行业验收规范要求及合同中的相关条款进行数量及质量的验收。</w:t>
            </w:r>
          </w:p>
          <w:p w14:paraId="5905668D">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left="0"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lang w:val="en-US" w:eastAsia="zh-CN"/>
              </w:rPr>
              <w:t>2.</w:t>
            </w:r>
            <w:r>
              <w:rPr>
                <w:rFonts w:hint="eastAsia" w:ascii="仿宋_GB2312" w:hAnsi="仿宋_GB2312" w:eastAsia="仿宋_GB2312" w:cs="仿宋_GB2312"/>
                <w:b w:val="0"/>
                <w:bCs w:val="0"/>
                <w:color w:val="auto"/>
                <w:sz w:val="26"/>
                <w:szCs w:val="26"/>
              </w:rPr>
              <w:t>验收步骤</w:t>
            </w:r>
          </w:p>
          <w:p w14:paraId="270EEA58">
            <w:pPr>
              <w:keepNext w:val="0"/>
              <w:keepLines w:val="0"/>
              <w:pageBreakBefore w:val="0"/>
              <w:widowControl w:val="0"/>
              <w:numPr>
                <w:ilvl w:val="0"/>
                <w:numId w:val="0"/>
              </w:numPr>
              <w:tabs>
                <w:tab w:val="left" w:pos="709"/>
              </w:tabs>
              <w:kinsoku/>
              <w:wordWrap/>
              <w:overflowPunct/>
              <w:topLinePunct w:val="0"/>
              <w:autoSpaceDE/>
              <w:autoSpaceDN/>
              <w:bidi w:val="0"/>
              <w:adjustRightInd/>
              <w:snapToGrid/>
              <w:spacing w:line="480" w:lineRule="exact"/>
              <w:ind w:left="0"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lang w:val="en-US" w:eastAsia="zh-CN"/>
              </w:rPr>
              <w:t>成交供应商</w:t>
            </w:r>
            <w:r>
              <w:rPr>
                <w:rFonts w:hint="eastAsia" w:ascii="仿宋_GB2312" w:hAnsi="仿宋_GB2312" w:eastAsia="仿宋_GB2312" w:cs="仿宋_GB2312"/>
                <w:b w:val="0"/>
                <w:bCs w:val="0"/>
                <w:color w:val="auto"/>
                <w:sz w:val="26"/>
                <w:szCs w:val="26"/>
              </w:rPr>
              <w:t>需提供设备、安装材料、工具、软件包和文件</w:t>
            </w:r>
            <w:r>
              <w:rPr>
                <w:rFonts w:hint="eastAsia" w:ascii="仿宋_GB2312" w:hAnsi="仿宋_GB2312" w:eastAsia="仿宋_GB2312" w:cs="仿宋_GB2312"/>
                <w:b w:val="0"/>
                <w:bCs w:val="0"/>
                <w:color w:val="auto"/>
                <w:sz w:val="26"/>
                <w:szCs w:val="26"/>
                <w:lang w:val="en-US" w:eastAsia="zh-CN"/>
              </w:rPr>
              <w:t>等</w:t>
            </w:r>
            <w:r>
              <w:rPr>
                <w:rFonts w:hint="eastAsia" w:ascii="仿宋_GB2312" w:hAnsi="仿宋_GB2312" w:eastAsia="仿宋_GB2312" w:cs="仿宋_GB2312"/>
                <w:b w:val="0"/>
                <w:bCs w:val="0"/>
                <w:color w:val="auto"/>
                <w:sz w:val="26"/>
                <w:szCs w:val="26"/>
              </w:rPr>
              <w:t>发货清单。设备</w:t>
            </w:r>
            <w:r>
              <w:rPr>
                <w:rFonts w:hint="eastAsia" w:ascii="仿宋_GB2312" w:hAnsi="仿宋_GB2312" w:eastAsia="仿宋_GB2312" w:cs="仿宋_GB2312"/>
                <w:b w:val="0"/>
                <w:bCs w:val="0"/>
                <w:color w:val="auto"/>
                <w:sz w:val="26"/>
                <w:szCs w:val="26"/>
                <w:lang w:eastAsia="zh-CN"/>
              </w:rPr>
              <w:t>成交供应商</w:t>
            </w:r>
            <w:r>
              <w:rPr>
                <w:rFonts w:hint="eastAsia" w:ascii="仿宋_GB2312" w:hAnsi="仿宋_GB2312" w:eastAsia="仿宋_GB2312" w:cs="仿宋_GB2312"/>
                <w:b w:val="0"/>
                <w:bCs w:val="0"/>
                <w:color w:val="auto"/>
                <w:sz w:val="26"/>
                <w:szCs w:val="26"/>
              </w:rPr>
              <w:t>负责所提供产品的出厂检验，保证产品原产地和技术指标的真实性、完整性、合法性，并负责将产品送达交货地点，并向采购人提供设备制造厂的出厂检验报告、合格证</w:t>
            </w:r>
            <w:r>
              <w:rPr>
                <w:rFonts w:hint="eastAsia" w:ascii="仿宋_GB2312" w:hAnsi="仿宋_GB2312" w:eastAsia="仿宋_GB2312" w:cs="仿宋_GB2312"/>
                <w:b w:val="0"/>
                <w:bCs w:val="0"/>
                <w:color w:val="auto"/>
                <w:sz w:val="26"/>
                <w:szCs w:val="26"/>
                <w:lang w:val="en-US" w:eastAsia="zh-CN"/>
              </w:rPr>
              <w:t>等</w:t>
            </w:r>
            <w:r>
              <w:rPr>
                <w:rFonts w:hint="eastAsia" w:ascii="仿宋_GB2312" w:hAnsi="仿宋_GB2312" w:eastAsia="仿宋_GB2312" w:cs="仿宋_GB2312"/>
                <w:b w:val="0"/>
                <w:bCs w:val="0"/>
                <w:color w:val="auto"/>
                <w:sz w:val="26"/>
                <w:szCs w:val="26"/>
              </w:rPr>
              <w:t>证明资料和文件。采购人在设备（含软件）到货后，将按合同规定对所交设备进行清点、核对和商检。</w:t>
            </w:r>
          </w:p>
          <w:p w14:paraId="0B3B7DCF">
            <w:pPr>
              <w:pStyle w:val="5"/>
              <w:keepNext w:val="0"/>
              <w:keepLines w:val="0"/>
              <w:pageBreakBefore w:val="0"/>
              <w:numPr>
                <w:ilvl w:val="0"/>
                <w:numId w:val="2"/>
              </w:numPr>
              <w:kinsoku/>
              <w:wordWrap/>
              <w:overflowPunct/>
              <w:topLinePunct w:val="0"/>
              <w:autoSpaceDE/>
              <w:autoSpaceDN/>
              <w:bidi w:val="0"/>
              <w:adjustRightInd/>
              <w:spacing w:line="480" w:lineRule="exact"/>
              <w:ind w:firstLine="520" w:firstLineChars="200"/>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rPr>
              <w:t>在采购人安装现场进行最终检验所产生的一切费用由</w:t>
            </w:r>
            <w:r>
              <w:rPr>
                <w:rFonts w:hint="eastAsia" w:ascii="仿宋_GB2312" w:hAnsi="仿宋_GB2312" w:eastAsia="仿宋_GB2312" w:cs="仿宋_GB2312"/>
                <w:b w:val="0"/>
                <w:bCs w:val="0"/>
                <w:color w:val="auto"/>
                <w:sz w:val="26"/>
                <w:szCs w:val="26"/>
                <w:lang w:eastAsia="zh-CN"/>
              </w:rPr>
              <w:t>成交供应商</w:t>
            </w:r>
            <w:r>
              <w:rPr>
                <w:rFonts w:hint="eastAsia" w:ascii="仿宋_GB2312" w:hAnsi="仿宋_GB2312" w:eastAsia="仿宋_GB2312" w:cs="仿宋_GB2312"/>
                <w:b w:val="0"/>
                <w:bCs w:val="0"/>
                <w:color w:val="auto"/>
                <w:sz w:val="26"/>
                <w:szCs w:val="26"/>
              </w:rPr>
              <w:t>承担。</w:t>
            </w:r>
          </w:p>
          <w:p w14:paraId="5A2CA2A1">
            <w:pPr>
              <w:pStyle w:val="5"/>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r>
    </w:tbl>
    <w:p w14:paraId="5187C4AA">
      <w:pPr>
        <w:rPr>
          <w:rFonts w:ascii="宋体" w:hAnsi="宋体" w:cs="宋体"/>
          <w:sz w:val="24"/>
        </w:rPr>
      </w:pPr>
    </w:p>
    <w:sectPr>
      <w:headerReference r:id="rId3" w:type="default"/>
      <w:footerReference r:id="rId4" w:type="default"/>
      <w:pgSz w:w="11906" w:h="16838"/>
      <w:pgMar w:top="1474" w:right="1304" w:bottom="1474" w:left="1304" w:header="737" w:footer="737"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B7BEB5">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9935"/>
                          </w:sdtPr>
                          <w:sdtContent>
                            <w:p w14:paraId="1DAEBF44">
                              <w:pPr>
                                <w:pStyle w:val="7"/>
                                <w:jc w:val="center"/>
                              </w:pPr>
                              <w:r>
                                <w:fldChar w:fldCharType="begin"/>
                              </w:r>
                              <w:r>
                                <w:instrText xml:space="preserve">PAGE   \* MERGEFORMAT</w:instrText>
                              </w:r>
                              <w:r>
                                <w:fldChar w:fldCharType="separate"/>
                              </w:r>
                              <w:r>
                                <w:rPr>
                                  <w:lang w:val="zh-CN"/>
                                </w:rPr>
                                <w:t>7</w:t>
                              </w:r>
                              <w:r>
                                <w:fldChar w:fldCharType="end"/>
                              </w:r>
                            </w:p>
                          </w:sdtContent>
                        </w:sdt>
                        <w:p w14:paraId="61AEB7A4">
                          <w:pPr>
                            <w:pStyle w:val="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47479935"/>
                    </w:sdtPr>
                    <w:sdtContent>
                      <w:p w14:paraId="1DAEBF44">
                        <w:pPr>
                          <w:pStyle w:val="7"/>
                          <w:jc w:val="center"/>
                        </w:pPr>
                        <w:r>
                          <w:fldChar w:fldCharType="begin"/>
                        </w:r>
                        <w:r>
                          <w:instrText xml:space="preserve">PAGE   \* MERGEFORMAT</w:instrText>
                        </w:r>
                        <w:r>
                          <w:fldChar w:fldCharType="separate"/>
                        </w:r>
                        <w:r>
                          <w:rPr>
                            <w:lang w:val="zh-CN"/>
                          </w:rPr>
                          <w:t>7</w:t>
                        </w:r>
                        <w:r>
                          <w:fldChar w:fldCharType="end"/>
                        </w:r>
                      </w:p>
                    </w:sdtContent>
                  </w:sdt>
                  <w:p w14:paraId="61AEB7A4">
                    <w:pPr>
                      <w:pStyle w:val="4"/>
                    </w:pPr>
                  </w:p>
                </w:txbxContent>
              </v:textbox>
            </v:shape>
          </w:pict>
        </mc:Fallback>
      </mc:AlternateContent>
    </w:r>
  </w:p>
  <w:p w14:paraId="0E52BC10">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A4FA1E">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8EAAA5"/>
    <w:multiLevelType w:val="singleLevel"/>
    <w:tmpl w:val="4D8EAAA5"/>
    <w:lvl w:ilvl="0" w:tentative="0">
      <w:start w:val="3"/>
      <w:numFmt w:val="decimal"/>
      <w:lvlText w:val="%1."/>
      <w:lvlJc w:val="left"/>
      <w:pPr>
        <w:tabs>
          <w:tab w:val="left" w:pos="312"/>
        </w:tabs>
      </w:pPr>
    </w:lvl>
  </w:abstractNum>
  <w:abstractNum w:abstractNumId="1">
    <w:nsid w:val="60AFA6F0"/>
    <w:multiLevelType w:val="singleLevel"/>
    <w:tmpl w:val="60AFA6F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4MDliNjQ4ZTZhYjM4MDUxMjk5N2VkMzZiYTI1YTUifQ=="/>
  </w:docVars>
  <w:rsids>
    <w:rsidRoot w:val="00EF6FC8"/>
    <w:rsid w:val="00051C2F"/>
    <w:rsid w:val="0010601D"/>
    <w:rsid w:val="00182735"/>
    <w:rsid w:val="00191067"/>
    <w:rsid w:val="00192787"/>
    <w:rsid w:val="001A2C58"/>
    <w:rsid w:val="001C303A"/>
    <w:rsid w:val="002316B0"/>
    <w:rsid w:val="00243CF1"/>
    <w:rsid w:val="00270C61"/>
    <w:rsid w:val="002776B7"/>
    <w:rsid w:val="002D1252"/>
    <w:rsid w:val="002E38A4"/>
    <w:rsid w:val="002F5D73"/>
    <w:rsid w:val="003103CE"/>
    <w:rsid w:val="00334FF2"/>
    <w:rsid w:val="00384EAE"/>
    <w:rsid w:val="00397AF4"/>
    <w:rsid w:val="003B515D"/>
    <w:rsid w:val="003C4919"/>
    <w:rsid w:val="004068B1"/>
    <w:rsid w:val="004854A4"/>
    <w:rsid w:val="0051628A"/>
    <w:rsid w:val="005B69CD"/>
    <w:rsid w:val="005C3FC3"/>
    <w:rsid w:val="005F152B"/>
    <w:rsid w:val="00660F2B"/>
    <w:rsid w:val="006636CD"/>
    <w:rsid w:val="006770C2"/>
    <w:rsid w:val="006803C8"/>
    <w:rsid w:val="00686E8B"/>
    <w:rsid w:val="00712B6E"/>
    <w:rsid w:val="00726689"/>
    <w:rsid w:val="00771287"/>
    <w:rsid w:val="007853E3"/>
    <w:rsid w:val="007B3E82"/>
    <w:rsid w:val="007D2AC9"/>
    <w:rsid w:val="00883D3F"/>
    <w:rsid w:val="008D3ABD"/>
    <w:rsid w:val="009C38AE"/>
    <w:rsid w:val="009C773E"/>
    <w:rsid w:val="00A05787"/>
    <w:rsid w:val="00AE416E"/>
    <w:rsid w:val="00BF1924"/>
    <w:rsid w:val="00C936DC"/>
    <w:rsid w:val="00C9617B"/>
    <w:rsid w:val="00D40F71"/>
    <w:rsid w:val="00DB6300"/>
    <w:rsid w:val="00E40646"/>
    <w:rsid w:val="00E92B27"/>
    <w:rsid w:val="00EF277E"/>
    <w:rsid w:val="00EF6FC8"/>
    <w:rsid w:val="00F0436D"/>
    <w:rsid w:val="00F241F7"/>
    <w:rsid w:val="00FC4E6D"/>
    <w:rsid w:val="0B046023"/>
    <w:rsid w:val="0CDA430A"/>
    <w:rsid w:val="0E4401F8"/>
    <w:rsid w:val="0EEA548C"/>
    <w:rsid w:val="0F5B7661"/>
    <w:rsid w:val="12146F8F"/>
    <w:rsid w:val="132F5EFA"/>
    <w:rsid w:val="139974F1"/>
    <w:rsid w:val="149953F8"/>
    <w:rsid w:val="18147C5E"/>
    <w:rsid w:val="1BA90CCA"/>
    <w:rsid w:val="1CAE6F9B"/>
    <w:rsid w:val="1E9D41B6"/>
    <w:rsid w:val="1FD85867"/>
    <w:rsid w:val="20757E99"/>
    <w:rsid w:val="22DC7D2B"/>
    <w:rsid w:val="236E767C"/>
    <w:rsid w:val="2AF35980"/>
    <w:rsid w:val="35C267C1"/>
    <w:rsid w:val="35D45791"/>
    <w:rsid w:val="365B237A"/>
    <w:rsid w:val="3C730C5D"/>
    <w:rsid w:val="3FE53D38"/>
    <w:rsid w:val="427E634D"/>
    <w:rsid w:val="44D42272"/>
    <w:rsid w:val="45455DE9"/>
    <w:rsid w:val="45C71F35"/>
    <w:rsid w:val="461644B5"/>
    <w:rsid w:val="50054F39"/>
    <w:rsid w:val="51275099"/>
    <w:rsid w:val="518D7FC2"/>
    <w:rsid w:val="51916834"/>
    <w:rsid w:val="562C4EE7"/>
    <w:rsid w:val="583A714C"/>
    <w:rsid w:val="59AC40C1"/>
    <w:rsid w:val="61A12540"/>
    <w:rsid w:val="646664BF"/>
    <w:rsid w:val="6A4610AD"/>
    <w:rsid w:val="6BA038AA"/>
    <w:rsid w:val="6DE02C90"/>
    <w:rsid w:val="74B45CA7"/>
    <w:rsid w:val="75DC7676"/>
    <w:rsid w:val="7CB450F6"/>
    <w:rsid w:val="7D625C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qFormat/>
    <w:uiPriority w:val="0"/>
    <w:pPr>
      <w:keepNext/>
      <w:keepLines/>
      <w:widowControl w:val="0"/>
      <w:spacing w:before="260" w:after="260" w:line="413" w:lineRule="auto"/>
      <w:jc w:val="center"/>
      <w:outlineLvl w:val="1"/>
    </w:pPr>
    <w:rPr>
      <w:rFonts w:ascii="Arial Black" w:hAnsi="Arial Black" w:eastAsia="Arial Narrow" w:cs="Times New Roman"/>
      <w:b/>
      <w:kern w:val="2"/>
      <w:sz w:val="30"/>
      <w:szCs w:val="24"/>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qFormat/>
    <w:uiPriority w:val="0"/>
    <w:pPr>
      <w:ind w:left="570"/>
    </w:pPr>
    <w:rPr>
      <w:sz w:val="28"/>
    </w:rPr>
  </w:style>
  <w:style w:type="paragraph" w:styleId="5">
    <w:name w:val="Normal Indent"/>
    <w:basedOn w:val="1"/>
    <w:qFormat/>
    <w:uiPriority w:val="0"/>
    <w:pPr>
      <w:ind w:firstLine="420"/>
    </w:pPr>
    <w:rPr>
      <w:szCs w:val="20"/>
    </w:rPr>
  </w:style>
  <w:style w:type="paragraph" w:styleId="6">
    <w:name w:val="annotation text"/>
    <w:basedOn w:val="1"/>
    <w:qFormat/>
    <w:uiPriority w:val="0"/>
    <w:pPr>
      <w:jc w:val="left"/>
    </w:pPr>
  </w:style>
  <w:style w:type="paragraph" w:styleId="7">
    <w:name w:val="footer"/>
    <w:basedOn w:val="1"/>
    <w:link w:val="1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qFormat/>
    <w:uiPriority w:val="0"/>
    <w:pPr>
      <w:widowControl w:val="0"/>
      <w:spacing w:line="324" w:lineRule="auto"/>
      <w:jc w:val="both"/>
    </w:pPr>
    <w:rPr>
      <w:rFonts w:ascii="Times New Roman" w:hAnsi="Times New Roman" w:eastAsia="宋体" w:cs="Times New Roman"/>
      <w:kern w:val="2"/>
      <w:sz w:val="24"/>
      <w:szCs w:val="24"/>
      <w:lang w:val="en-US" w:eastAsia="zh-CN" w:bidi="ar-SA"/>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page number"/>
    <w:basedOn w:val="12"/>
    <w:qFormat/>
    <w:uiPriority w:val="0"/>
  </w:style>
  <w:style w:type="character" w:styleId="15">
    <w:name w:val="Hyperlink"/>
    <w:basedOn w:val="12"/>
    <w:semiHidden/>
    <w:unhideWhenUsed/>
    <w:qFormat/>
    <w:uiPriority w:val="99"/>
    <w:rPr>
      <w:color w:val="0000FF"/>
      <w:u w:val="single"/>
    </w:rPr>
  </w:style>
  <w:style w:type="character" w:customStyle="1" w:styleId="16">
    <w:name w:val="页眉 字符"/>
    <w:basedOn w:val="12"/>
    <w:link w:val="8"/>
    <w:qFormat/>
    <w:uiPriority w:val="99"/>
    <w:rPr>
      <w:sz w:val="18"/>
      <w:szCs w:val="18"/>
    </w:rPr>
  </w:style>
  <w:style w:type="character" w:customStyle="1" w:styleId="17">
    <w:name w:val="页脚 字符"/>
    <w:basedOn w:val="12"/>
    <w:link w:val="7"/>
    <w:qFormat/>
    <w:uiPriority w:val="99"/>
    <w:rPr>
      <w:sz w:val="18"/>
      <w:szCs w:val="18"/>
    </w:rPr>
  </w:style>
  <w:style w:type="paragraph" w:customStyle="1" w:styleId="18">
    <w:name w:val="_Style 2"/>
    <w:basedOn w:val="1"/>
    <w:qFormat/>
    <w:uiPriority w:val="0"/>
    <w:pPr>
      <w:ind w:firstLine="420" w:firstLineChars="200"/>
    </w:pPr>
    <w:rPr>
      <w:rFonts w:ascii="Calibri" w:hAnsi="Calibri"/>
      <w:szCs w:val="22"/>
    </w:rPr>
  </w:style>
  <w:style w:type="paragraph" w:styleId="19">
    <w:name w:val="List Paragraph"/>
    <w:basedOn w:val="1"/>
    <w:qFormat/>
    <w:uiPriority w:val="34"/>
    <w:pPr>
      <w:ind w:firstLine="420" w:firstLineChars="200"/>
    </w:pPr>
  </w:style>
  <w:style w:type="paragraph" w:customStyle="1" w:styleId="20">
    <w:name w:val="列出段落2"/>
    <w:basedOn w:val="1"/>
    <w:qFormat/>
    <w:uiPriority w:val="0"/>
    <w:pPr>
      <w:ind w:firstLine="420" w:firstLineChars="200"/>
    </w:pPr>
    <w:rPr>
      <w:rFonts w:ascii="Times New Roman" w:hAnsi="Times New Roman"/>
      <w:szCs w:val="22"/>
      <w:lang w:val="zh-CN"/>
    </w:rPr>
  </w:style>
  <w:style w:type="paragraph" w:customStyle="1" w:styleId="21">
    <w:name w:val="null3"/>
    <w:qFormat/>
    <w:uiPriority w:val="0"/>
    <w:rPr>
      <w:rFonts w:hint="eastAsia" w:ascii="Calibri" w:hAnsi="Calibri" w:eastAsia="宋体" w:cs="Times New Roman"/>
      <w:lang w:val="en-US" w:eastAsia="zh-Hans" w:bidi="ar-SA"/>
    </w:rPr>
  </w:style>
  <w:style w:type="paragraph" w:customStyle="1" w:styleId="22">
    <w:name w:val="Default"/>
    <w:qFormat/>
    <w:uiPriority w:val="99"/>
    <w:pPr>
      <w:widowControl w:val="0"/>
      <w:autoSpaceDE w:val="0"/>
      <w:autoSpaceDN w:val="0"/>
      <w:adjustRightInd w:val="0"/>
    </w:pPr>
    <w:rPr>
      <w:rFonts w:ascii="Arial Narrow" w:hAnsi="黑体"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6464</Words>
  <Characters>6776</Characters>
  <Lines>39</Lines>
  <Paragraphs>11</Paragraphs>
  <TotalTime>2</TotalTime>
  <ScaleCrop>false</ScaleCrop>
  <LinksUpToDate>false</LinksUpToDate>
  <CharactersWithSpaces>6962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2016-11-10T06:44:00Z</dcterms:created>
  <dc:creator>lenovo</dc:creator>
  <cp:lastModifiedBy>zcycg</cp:lastModifiedBy>
  <dcterms:modified xsi:type="dcterms:W3CDTF">2025-06-30T07:22:02Z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EECE28614AB549B79FBEEE84557C2616_13</vt:lpwstr>
  </property>
  <property fmtid="{D5CDD505-2E9C-101B-9397-08002B2CF9AE}" pid="4" name="KSOTemplateDocerSaveRecord">
    <vt:lpwstr>eyJoZGlkIjoiMDMyMzA0MWRmMWUzZDNiNGQ5NDIwMzc2ZWU4OGVjYjIiLCJ1c2VySWQiOiI0NTM5MjQyMzIifQ==</vt:lpwstr>
  </property>
</Properties>
</file>