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723CF">
      <w:pPr>
        <w:pStyle w:val="3"/>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黑体" w:hAnsi="黑体" w:eastAsia="黑体" w:cs="黑体"/>
          <w:b w:val="0"/>
          <w:bCs w:val="0"/>
          <w:sz w:val="44"/>
          <w:szCs w:val="44"/>
          <w:u w:val="none"/>
          <w:lang w:val="en-US" w:eastAsia="zh-CN"/>
        </w:rPr>
      </w:pPr>
      <w:r>
        <w:rPr>
          <w:rFonts w:hint="eastAsia" w:ascii="黑体" w:hAnsi="黑体" w:eastAsia="黑体" w:cs="黑体"/>
          <w:b w:val="0"/>
          <w:bCs w:val="0"/>
          <w:sz w:val="44"/>
          <w:szCs w:val="44"/>
          <w:u w:val="none"/>
          <w:lang w:val="en-US" w:eastAsia="zh-CN"/>
        </w:rPr>
        <w:t>福建师范大学协和学院货物采购</w:t>
      </w:r>
    </w:p>
    <w:p w14:paraId="6D12921D">
      <w:pPr>
        <w:pStyle w:val="3"/>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b w:val="0"/>
          <w:bCs w:val="0"/>
          <w:sz w:val="44"/>
          <w:szCs w:val="44"/>
          <w:u w:val="none"/>
          <w:lang w:val="en-US" w:eastAsia="zh-CN"/>
        </w:rPr>
      </w:pPr>
      <w:r>
        <w:rPr>
          <w:rFonts w:hint="eastAsia" w:ascii="黑体" w:hAnsi="黑体" w:eastAsia="黑体" w:cs="黑体"/>
          <w:b w:val="0"/>
          <w:bCs w:val="0"/>
          <w:sz w:val="44"/>
          <w:szCs w:val="44"/>
          <w:u w:val="none"/>
          <w:lang w:val="en-US" w:eastAsia="zh-CN"/>
        </w:rPr>
        <w:t>需求报送单</w:t>
      </w:r>
    </w:p>
    <w:p w14:paraId="5420C677">
      <w:pPr>
        <w:pStyle w:val="3"/>
        <w:keepNext w:val="0"/>
        <w:keepLines w:val="0"/>
        <w:pageBreakBefore w:val="0"/>
        <w:widowControl w:val="0"/>
        <w:kinsoku/>
        <w:wordWrap/>
        <w:overflowPunct/>
        <w:topLinePunct w:val="0"/>
        <w:autoSpaceDE/>
        <w:autoSpaceDN/>
        <w:bidi w:val="0"/>
        <w:adjustRightInd/>
        <w:snapToGrid/>
        <w:spacing w:after="313" w:afterLines="100" w:line="600" w:lineRule="exact"/>
        <w:ind w:left="0" w:leftChars="0" w:firstLine="0" w:firstLineChars="0"/>
        <w:jc w:val="center"/>
        <w:textAlignment w:val="auto"/>
        <w:rPr>
          <w:rFonts w:hint="eastAsia" w:ascii="黑体" w:hAnsi="黑体" w:eastAsia="黑体" w:cs="黑体"/>
          <w:b w:val="0"/>
          <w:bCs w:val="0"/>
          <w:sz w:val="44"/>
          <w:szCs w:val="44"/>
          <w:u w:val="none"/>
          <w:lang w:val="en-US" w:eastAsia="zh-CN"/>
        </w:rPr>
      </w:pPr>
      <w:r>
        <w:rPr>
          <w:rFonts w:hint="eastAsia" w:ascii="仿宋_GB2312" w:hAnsi="仿宋_GB2312" w:eastAsia="仿宋_GB2312" w:cs="仿宋_GB2312"/>
          <w:b w:val="0"/>
          <w:bCs w:val="0"/>
          <w:sz w:val="26"/>
          <w:szCs w:val="26"/>
          <w:u w:val="none"/>
          <w:lang w:val="en-US" w:eastAsia="zh-CN"/>
        </w:rPr>
        <w:t>（招标与非招标采购方式填报此单）</w:t>
      </w:r>
    </w:p>
    <w:p w14:paraId="47C76AF1">
      <w:pPr>
        <w:pStyle w:val="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default" w:ascii="仿宋_GB2312" w:hAnsi="仿宋_GB2312" w:eastAsia="仿宋_GB2312" w:cs="仿宋_GB2312"/>
          <w:b w:val="0"/>
          <w:bCs w:val="0"/>
          <w:sz w:val="26"/>
          <w:szCs w:val="26"/>
          <w:u w:val="none"/>
          <w:lang w:val="en-US" w:eastAsia="zh-CN"/>
        </w:rPr>
      </w:pPr>
      <w:r>
        <w:rPr>
          <w:rFonts w:hint="eastAsia" w:ascii="仿宋_GB2312" w:hAnsi="仿宋_GB2312" w:eastAsia="仿宋_GB2312" w:cs="仿宋_GB2312"/>
          <w:b w:val="0"/>
          <w:bCs w:val="0"/>
          <w:sz w:val="26"/>
          <w:szCs w:val="26"/>
          <w:u w:val="none"/>
          <w:lang w:val="en-US" w:eastAsia="zh-CN"/>
        </w:rPr>
        <w:t>采购单位（盖章）： 部/系(院)</w:t>
      </w:r>
    </w:p>
    <w:tbl>
      <w:tblPr>
        <w:tblStyle w:val="9"/>
        <w:tblW w:w="10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3378"/>
        <w:gridCol w:w="1460"/>
        <w:gridCol w:w="3948"/>
      </w:tblGrid>
      <w:tr w14:paraId="665E6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40020BA">
            <w:pPr>
              <w:pStyle w:val="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项目名称</w:t>
            </w:r>
          </w:p>
        </w:tc>
        <w:tc>
          <w:tcPr>
            <w:tcW w:w="8786" w:type="dxa"/>
            <w:gridSpan w:val="3"/>
            <w:vAlign w:val="center"/>
          </w:tcPr>
          <w:p w14:paraId="47BA3A42">
            <w:pPr>
              <w:pStyle w:val="3"/>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11A7C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EB2CB5C">
            <w:pPr>
              <w:pStyle w:val="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采购方式</w:t>
            </w:r>
          </w:p>
        </w:tc>
        <w:tc>
          <w:tcPr>
            <w:tcW w:w="3378" w:type="dxa"/>
            <w:vAlign w:val="center"/>
          </w:tcPr>
          <w:p w14:paraId="2CC43661">
            <w:pPr>
              <w:pStyle w:val="3"/>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公开询价/公开招标/......</w:t>
            </w:r>
          </w:p>
        </w:tc>
        <w:tc>
          <w:tcPr>
            <w:tcW w:w="1460" w:type="dxa"/>
            <w:vAlign w:val="center"/>
          </w:tcPr>
          <w:p w14:paraId="2223A38C">
            <w:pPr>
              <w:pStyle w:val="3"/>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立项时间</w:t>
            </w:r>
          </w:p>
        </w:tc>
        <w:tc>
          <w:tcPr>
            <w:tcW w:w="3948" w:type="dxa"/>
            <w:vAlign w:val="center"/>
          </w:tcPr>
          <w:p w14:paraId="4BBC70E1">
            <w:pPr>
              <w:pStyle w:val="3"/>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color w:val="FF0000"/>
                <w:sz w:val="18"/>
                <w:szCs w:val="18"/>
                <w:u w:val="none"/>
                <w:vertAlign w:val="baseline"/>
                <w:lang w:val="en-US" w:eastAsia="zh-CN"/>
              </w:rPr>
              <w:t>此栏填写院务会议审批立项时间（年月日），若预算金额</w:t>
            </w:r>
            <w:r>
              <w:rPr>
                <w:rFonts w:hint="eastAsia" w:ascii="微软雅黑" w:hAnsi="微软雅黑" w:eastAsia="微软雅黑" w:cs="微软雅黑"/>
                <w:b w:val="0"/>
                <w:bCs w:val="0"/>
                <w:color w:val="FF0000"/>
                <w:sz w:val="18"/>
                <w:szCs w:val="18"/>
                <w:u w:val="none"/>
                <w:vertAlign w:val="baseline"/>
                <w:lang w:val="en-US" w:eastAsia="zh-CN"/>
              </w:rPr>
              <w:t>&lt;</w:t>
            </w:r>
            <w:r>
              <w:rPr>
                <w:rFonts w:hint="eastAsia" w:ascii="仿宋_GB2312" w:hAnsi="仿宋_GB2312" w:eastAsia="仿宋_GB2312" w:cs="仿宋_GB2312"/>
                <w:b w:val="0"/>
                <w:bCs w:val="0"/>
                <w:color w:val="FF0000"/>
                <w:sz w:val="18"/>
                <w:szCs w:val="18"/>
                <w:u w:val="none"/>
                <w:vertAlign w:val="baseline"/>
                <w:lang w:val="en-US" w:eastAsia="zh-CN"/>
              </w:rPr>
              <w:t>5万元，填写采购会审批时间</w:t>
            </w:r>
          </w:p>
        </w:tc>
      </w:tr>
      <w:tr w14:paraId="5CA22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14AEF3C">
            <w:pPr>
              <w:pStyle w:val="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评标方法</w:t>
            </w:r>
          </w:p>
        </w:tc>
        <w:tc>
          <w:tcPr>
            <w:tcW w:w="3378" w:type="dxa"/>
            <w:vAlign w:val="center"/>
          </w:tcPr>
          <w:p w14:paraId="7D02ADF4">
            <w:pPr>
              <w:pStyle w:val="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最低评标价法/综合评分法</w:t>
            </w:r>
          </w:p>
        </w:tc>
        <w:tc>
          <w:tcPr>
            <w:tcW w:w="1460" w:type="dxa"/>
            <w:vAlign w:val="center"/>
          </w:tcPr>
          <w:p w14:paraId="5A5C5351">
            <w:pPr>
              <w:pStyle w:val="3"/>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2"/>
                <w:szCs w:val="22"/>
                <w:u w:val="none"/>
                <w:vertAlign w:val="baseline"/>
                <w:lang w:val="en-US" w:eastAsia="zh-CN"/>
              </w:rPr>
              <w:t>专门面向中小微企业</w:t>
            </w:r>
          </w:p>
        </w:tc>
        <w:tc>
          <w:tcPr>
            <w:tcW w:w="3948" w:type="dxa"/>
            <w:vAlign w:val="center"/>
          </w:tcPr>
          <w:p w14:paraId="3BFF9762">
            <w:pPr>
              <w:pStyle w:val="3"/>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是/否</w:t>
            </w:r>
          </w:p>
        </w:tc>
      </w:tr>
      <w:tr w14:paraId="779DC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9940F36">
            <w:pPr>
              <w:pStyle w:val="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经办人</w:t>
            </w:r>
          </w:p>
        </w:tc>
        <w:tc>
          <w:tcPr>
            <w:tcW w:w="3378" w:type="dxa"/>
            <w:vAlign w:val="center"/>
          </w:tcPr>
          <w:p w14:paraId="05917AD8">
            <w:pPr>
              <w:pStyle w:val="3"/>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c>
          <w:tcPr>
            <w:tcW w:w="1460" w:type="dxa"/>
            <w:vAlign w:val="center"/>
          </w:tcPr>
          <w:p w14:paraId="11EC4F37">
            <w:pPr>
              <w:pStyle w:val="3"/>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联系方式</w:t>
            </w:r>
          </w:p>
        </w:tc>
        <w:tc>
          <w:tcPr>
            <w:tcW w:w="3948" w:type="dxa"/>
            <w:vAlign w:val="center"/>
          </w:tcPr>
          <w:p w14:paraId="3EAEA67F">
            <w:pPr>
              <w:pStyle w:val="3"/>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795A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1" w:type="dxa"/>
            <w:gridSpan w:val="4"/>
            <w:vAlign w:val="center"/>
          </w:tcPr>
          <w:p w14:paraId="57BBEF08">
            <w:pPr>
              <w:pStyle w:val="3"/>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黑体" w:hAnsi="黑体" w:eastAsia="黑体" w:cs="黑体"/>
                <w:b w:val="0"/>
                <w:bCs w:val="0"/>
                <w:sz w:val="26"/>
                <w:szCs w:val="26"/>
                <w:u w:val="none"/>
                <w:vertAlign w:val="baseline"/>
                <w:lang w:val="en-US" w:eastAsia="zh-CN"/>
              </w:rPr>
              <w:t>采购需求（方案）</w:t>
            </w:r>
          </w:p>
        </w:tc>
      </w:tr>
      <w:tr w14:paraId="5DA78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1" w:type="dxa"/>
            <w:gridSpan w:val="4"/>
            <w:vAlign w:val="center"/>
          </w:tcPr>
          <w:p w14:paraId="62D45C3C">
            <w:pPr>
              <w:spacing w:line="360" w:lineRule="auto"/>
              <w:jc w:val="center"/>
              <w:rPr>
                <w:rFonts w:ascii="宋体" w:hAnsi="宋体" w:cs="宋体"/>
                <w:b/>
                <w:bCs/>
                <w:color w:val="FF0000"/>
                <w:sz w:val="24"/>
              </w:rPr>
            </w:pPr>
            <w:r>
              <w:rPr>
                <w:rFonts w:hint="eastAsia" w:ascii="宋体" w:hAnsi="宋体" w:cs="宋体"/>
                <w:b/>
                <w:bCs/>
                <w:color w:val="FF0000"/>
                <w:sz w:val="24"/>
              </w:rPr>
              <w:t>（请在制作正式采购方案时删除本模板中所有红色</w:t>
            </w:r>
            <w:r>
              <w:rPr>
                <w:rFonts w:hint="eastAsia" w:ascii="宋体" w:hAnsi="宋体" w:cs="宋体"/>
                <w:b/>
                <w:bCs/>
                <w:color w:val="FF0000"/>
                <w:sz w:val="24"/>
                <w:lang w:val="en-US" w:eastAsia="zh-CN"/>
              </w:rPr>
              <w:t>文字，并根据项目实际情况修改标黄</w:t>
            </w:r>
            <w:r>
              <w:rPr>
                <w:rFonts w:hint="eastAsia" w:ascii="宋体" w:hAnsi="宋体" w:cs="宋体"/>
                <w:b/>
                <w:bCs/>
                <w:color w:val="FF0000"/>
                <w:sz w:val="24"/>
                <w:highlight w:val="none"/>
                <w:lang w:val="en-US" w:eastAsia="zh-CN"/>
              </w:rPr>
              <w:t>内容</w:t>
            </w:r>
            <w:r>
              <w:rPr>
                <w:rFonts w:hint="eastAsia" w:ascii="宋体" w:hAnsi="宋体" w:cs="宋体"/>
                <w:b/>
                <w:bCs/>
                <w:color w:val="FF0000"/>
                <w:sz w:val="24"/>
              </w:rPr>
              <w:t>）</w:t>
            </w:r>
          </w:p>
          <w:p w14:paraId="2B11C26D">
            <w:pPr>
              <w:spacing w:line="360" w:lineRule="auto"/>
              <w:jc w:val="center"/>
              <w:rPr>
                <w:rFonts w:ascii="宋体" w:hAnsi="宋体" w:cs="宋体"/>
                <w:b/>
                <w:bCs/>
                <w:color w:val="FF0000"/>
                <w:sz w:val="24"/>
              </w:rPr>
            </w:pPr>
          </w:p>
          <w:p w14:paraId="785D1A0A">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
                <w:sz w:val="26"/>
                <w:szCs w:val="26"/>
              </w:rPr>
              <w:t>一、招标货物一览表</w:t>
            </w:r>
          </w:p>
          <w:tbl>
            <w:tblPr>
              <w:tblStyle w:val="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997"/>
              <w:gridCol w:w="3580"/>
              <w:gridCol w:w="994"/>
              <w:gridCol w:w="994"/>
              <w:gridCol w:w="1285"/>
              <w:gridCol w:w="1450"/>
            </w:tblGrid>
            <w:tr w14:paraId="63907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502" w:type="pct"/>
                  <w:shd w:val="clear" w:color="auto" w:fill="auto"/>
                  <w:vAlign w:val="center"/>
                </w:tcPr>
                <w:p w14:paraId="7BAE646E">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kern w:val="0"/>
                      <w:sz w:val="26"/>
                      <w:szCs w:val="26"/>
                    </w:rPr>
                    <w:t>合同包</w:t>
                  </w:r>
                </w:p>
              </w:tc>
              <w:tc>
                <w:tcPr>
                  <w:tcW w:w="482" w:type="pct"/>
                  <w:shd w:val="clear" w:color="auto" w:fill="auto"/>
                  <w:vAlign w:val="center"/>
                </w:tcPr>
                <w:p w14:paraId="6E82F92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品目号</w:t>
                  </w:r>
                </w:p>
              </w:tc>
              <w:tc>
                <w:tcPr>
                  <w:tcW w:w="1731" w:type="pct"/>
                  <w:shd w:val="clear" w:color="auto" w:fill="auto"/>
                  <w:vAlign w:val="center"/>
                </w:tcPr>
                <w:p w14:paraId="64BBE24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sz w:val="26"/>
                      <w:szCs w:val="26"/>
                    </w:rPr>
                    <w:t>货物名称</w:t>
                  </w:r>
                </w:p>
              </w:tc>
              <w:tc>
                <w:tcPr>
                  <w:tcW w:w="481" w:type="pct"/>
                  <w:shd w:val="clear" w:color="auto" w:fill="auto"/>
                  <w:vAlign w:val="center"/>
                </w:tcPr>
                <w:p w14:paraId="4E8E920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lang w:val="en-US" w:eastAsia="zh-CN"/>
                    </w:rPr>
                  </w:pPr>
                  <w:r>
                    <w:rPr>
                      <w:rFonts w:hint="eastAsia" w:ascii="仿宋_GB2312" w:hAnsi="仿宋_GB2312" w:eastAsia="仿宋_GB2312" w:cs="仿宋_GB2312"/>
                      <w:b/>
                      <w:bCs w:val="0"/>
                      <w:color w:val="000000"/>
                      <w:kern w:val="0"/>
                      <w:sz w:val="26"/>
                      <w:szCs w:val="26"/>
                      <w:lang w:val="en-US" w:eastAsia="zh-CN"/>
                    </w:rPr>
                    <w:t>单位</w:t>
                  </w:r>
                </w:p>
              </w:tc>
              <w:tc>
                <w:tcPr>
                  <w:tcW w:w="481" w:type="pct"/>
                  <w:shd w:val="clear" w:color="auto" w:fill="auto"/>
                  <w:vAlign w:val="center"/>
                </w:tcPr>
                <w:p w14:paraId="0939221F">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kern w:val="0"/>
                      <w:sz w:val="26"/>
                      <w:szCs w:val="26"/>
                    </w:rPr>
                    <w:t>数量</w:t>
                  </w:r>
                </w:p>
              </w:tc>
              <w:tc>
                <w:tcPr>
                  <w:tcW w:w="621" w:type="pct"/>
                  <w:shd w:val="clear" w:color="auto" w:fill="auto"/>
                  <w:vAlign w:val="center"/>
                </w:tcPr>
                <w:p w14:paraId="658ABE7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单价</w:t>
                  </w:r>
                </w:p>
                <w:p w14:paraId="5D9A2A1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（元）</w:t>
                  </w:r>
                </w:p>
              </w:tc>
              <w:tc>
                <w:tcPr>
                  <w:tcW w:w="700" w:type="pct"/>
                  <w:shd w:val="clear" w:color="auto" w:fill="auto"/>
                  <w:vAlign w:val="center"/>
                </w:tcPr>
                <w:p w14:paraId="6360B12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金额</w:t>
                  </w:r>
                </w:p>
                <w:p w14:paraId="32758711">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sz w:val="26"/>
                      <w:szCs w:val="26"/>
                    </w:rPr>
                    <w:t>（元）</w:t>
                  </w:r>
                </w:p>
              </w:tc>
            </w:tr>
            <w:tr w14:paraId="42579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502" w:type="pct"/>
                  <w:vMerge w:val="restart"/>
                  <w:shd w:val="clear" w:color="auto" w:fill="auto"/>
                  <w:vAlign w:val="center"/>
                </w:tcPr>
                <w:p w14:paraId="122D32E0">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1</w:t>
                  </w:r>
                </w:p>
              </w:tc>
              <w:tc>
                <w:tcPr>
                  <w:tcW w:w="482" w:type="pct"/>
                  <w:shd w:val="clear" w:color="auto" w:fill="auto"/>
                  <w:vAlign w:val="center"/>
                </w:tcPr>
                <w:p w14:paraId="56D3BD87">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1-1</w:t>
                  </w:r>
                </w:p>
              </w:tc>
              <w:tc>
                <w:tcPr>
                  <w:tcW w:w="1731" w:type="pct"/>
                  <w:shd w:val="clear" w:color="auto" w:fill="auto"/>
                  <w:vAlign w:val="center"/>
                </w:tcPr>
                <w:p w14:paraId="557548B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p>
              </w:tc>
              <w:tc>
                <w:tcPr>
                  <w:tcW w:w="481" w:type="pct"/>
                  <w:shd w:val="clear" w:color="auto" w:fill="auto"/>
                  <w:vAlign w:val="center"/>
                </w:tcPr>
                <w:p w14:paraId="1BA0FEB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lang w:val="en-US" w:eastAsia="zh-CN"/>
                    </w:rPr>
                  </w:pPr>
                  <w:r>
                    <w:rPr>
                      <w:rFonts w:hint="eastAsia" w:ascii="仿宋_GB2312" w:hAnsi="仿宋_GB2312" w:eastAsia="仿宋_GB2312" w:cs="仿宋_GB2312"/>
                      <w:color w:val="000000"/>
                      <w:sz w:val="26"/>
                      <w:szCs w:val="26"/>
                      <w:lang w:val="en-US" w:eastAsia="zh-CN"/>
                    </w:rPr>
                    <w:t>台</w:t>
                  </w:r>
                </w:p>
              </w:tc>
              <w:tc>
                <w:tcPr>
                  <w:tcW w:w="481" w:type="pct"/>
                  <w:shd w:val="clear" w:color="auto" w:fill="auto"/>
                  <w:vAlign w:val="center"/>
                </w:tcPr>
                <w:p w14:paraId="718BD9E4">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21" w:type="pct"/>
                  <w:shd w:val="clear" w:color="auto" w:fill="auto"/>
                  <w:vAlign w:val="center"/>
                </w:tcPr>
                <w:p w14:paraId="386CA7A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00" w:type="pct"/>
                  <w:shd w:val="clear" w:color="auto" w:fill="auto"/>
                  <w:vAlign w:val="center"/>
                </w:tcPr>
                <w:p w14:paraId="34183B1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28B1F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02" w:type="pct"/>
                  <w:vMerge w:val="continue"/>
                  <w:shd w:val="clear" w:color="auto" w:fill="auto"/>
                  <w:vAlign w:val="center"/>
                </w:tcPr>
                <w:p w14:paraId="25C73CF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482" w:type="pct"/>
                  <w:shd w:val="clear" w:color="auto" w:fill="auto"/>
                  <w:vAlign w:val="center"/>
                </w:tcPr>
                <w:p w14:paraId="23F675E6">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1-2</w:t>
                  </w:r>
                </w:p>
              </w:tc>
              <w:tc>
                <w:tcPr>
                  <w:tcW w:w="1731" w:type="pct"/>
                  <w:shd w:val="clear" w:color="auto" w:fill="auto"/>
                  <w:vAlign w:val="center"/>
                </w:tcPr>
                <w:p w14:paraId="38C93FB2">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481" w:type="pct"/>
                  <w:shd w:val="clear" w:color="auto" w:fill="auto"/>
                  <w:vAlign w:val="center"/>
                </w:tcPr>
                <w:p w14:paraId="2674D752">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lang w:val="en-US" w:eastAsia="zh-CN"/>
                    </w:rPr>
                  </w:pPr>
                  <w:r>
                    <w:rPr>
                      <w:rFonts w:hint="eastAsia" w:ascii="仿宋_GB2312" w:hAnsi="仿宋_GB2312" w:eastAsia="仿宋_GB2312" w:cs="仿宋_GB2312"/>
                      <w:color w:val="000000"/>
                      <w:sz w:val="26"/>
                      <w:szCs w:val="26"/>
                      <w:lang w:val="en-US" w:eastAsia="zh-CN"/>
                    </w:rPr>
                    <w:t>箱</w:t>
                  </w:r>
                </w:p>
              </w:tc>
              <w:tc>
                <w:tcPr>
                  <w:tcW w:w="481" w:type="pct"/>
                  <w:shd w:val="clear" w:color="auto" w:fill="auto"/>
                  <w:vAlign w:val="center"/>
                </w:tcPr>
                <w:p w14:paraId="382FA7E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21" w:type="pct"/>
                  <w:shd w:val="clear" w:color="auto" w:fill="auto"/>
                  <w:vAlign w:val="center"/>
                </w:tcPr>
                <w:p w14:paraId="2A7C88B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00" w:type="pct"/>
                  <w:shd w:val="clear" w:color="auto" w:fill="auto"/>
                  <w:vAlign w:val="center"/>
                </w:tcPr>
                <w:p w14:paraId="7A79026D">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618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02" w:type="pct"/>
                  <w:vMerge w:val="continue"/>
                  <w:shd w:val="clear" w:color="auto" w:fill="auto"/>
                  <w:vAlign w:val="center"/>
                </w:tcPr>
                <w:p w14:paraId="6948EA8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482" w:type="pct"/>
                  <w:shd w:val="clear" w:color="auto" w:fill="auto"/>
                  <w:vAlign w:val="center"/>
                </w:tcPr>
                <w:p w14:paraId="045896C2">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w:t>
                  </w:r>
                </w:p>
              </w:tc>
              <w:tc>
                <w:tcPr>
                  <w:tcW w:w="1731" w:type="pct"/>
                  <w:shd w:val="clear" w:color="auto" w:fill="auto"/>
                  <w:vAlign w:val="center"/>
                </w:tcPr>
                <w:p w14:paraId="514497C4">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481" w:type="pct"/>
                  <w:shd w:val="clear" w:color="auto" w:fill="auto"/>
                  <w:vAlign w:val="center"/>
                </w:tcPr>
                <w:p w14:paraId="0D6E0E5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lang w:val="en-US" w:eastAsia="zh-CN"/>
                    </w:rPr>
                  </w:pPr>
                  <w:r>
                    <w:rPr>
                      <w:rFonts w:hint="eastAsia" w:ascii="仿宋_GB2312" w:hAnsi="仿宋_GB2312" w:eastAsia="仿宋_GB2312" w:cs="仿宋_GB2312"/>
                      <w:color w:val="000000"/>
                      <w:sz w:val="26"/>
                      <w:szCs w:val="26"/>
                      <w:lang w:val="en-US" w:eastAsia="zh-CN"/>
                    </w:rPr>
                    <w:t>套</w:t>
                  </w:r>
                </w:p>
              </w:tc>
              <w:tc>
                <w:tcPr>
                  <w:tcW w:w="481" w:type="pct"/>
                  <w:shd w:val="clear" w:color="auto" w:fill="auto"/>
                  <w:vAlign w:val="center"/>
                </w:tcPr>
                <w:p w14:paraId="5140C7BB">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21" w:type="pct"/>
                  <w:shd w:val="clear" w:color="auto" w:fill="auto"/>
                  <w:vAlign w:val="center"/>
                </w:tcPr>
                <w:p w14:paraId="05614A2B">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00" w:type="pct"/>
                  <w:shd w:val="clear" w:color="auto" w:fill="auto"/>
                  <w:vAlign w:val="center"/>
                </w:tcPr>
                <w:p w14:paraId="08E9682F">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064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984" w:type="pct"/>
                  <w:gridSpan w:val="2"/>
                  <w:shd w:val="clear" w:color="auto" w:fill="auto"/>
                  <w:vAlign w:val="center"/>
                </w:tcPr>
                <w:p w14:paraId="7CA2193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合计</w:t>
                  </w:r>
                </w:p>
              </w:tc>
              <w:tc>
                <w:tcPr>
                  <w:tcW w:w="4015" w:type="pct"/>
                  <w:gridSpan w:val="5"/>
                  <w:shd w:val="clear" w:color="auto" w:fill="auto"/>
                  <w:vAlign w:val="center"/>
                </w:tcPr>
                <w:p w14:paraId="1F5D1166">
                  <w:pPr>
                    <w:keepNext w:val="0"/>
                    <w:keepLines w:val="0"/>
                    <w:pageBreakBefore w:val="0"/>
                    <w:widowControl/>
                    <w:kinsoku/>
                    <w:wordWrap/>
                    <w:overflowPunct/>
                    <w:topLinePunct w:val="0"/>
                    <w:autoSpaceDE/>
                    <w:autoSpaceDN/>
                    <w:bidi w:val="0"/>
                    <w:adjustRightInd/>
                    <w:spacing w:line="460" w:lineRule="exact"/>
                    <w:ind w:firstLine="2600" w:firstLineChars="1000"/>
                    <w:rPr>
                      <w:rFonts w:hint="eastAsia" w:ascii="仿宋_GB2312" w:hAnsi="仿宋_GB2312" w:eastAsia="仿宋_GB2312" w:cs="仿宋_GB2312"/>
                      <w:color w:val="000000"/>
                      <w:sz w:val="26"/>
                      <w:szCs w:val="26"/>
                    </w:rPr>
                  </w:pPr>
                  <w:r>
                    <w:rPr>
                      <w:rFonts w:hint="eastAsia" w:ascii="仿宋_GB2312" w:hAnsi="仿宋_GB2312" w:eastAsia="仿宋_GB2312" w:cs="仿宋_GB2312"/>
                      <w:bCs/>
                      <w:color w:val="000000"/>
                      <w:sz w:val="26"/>
                      <w:szCs w:val="26"/>
                    </w:rPr>
                    <w:t>人民币</w:t>
                  </w:r>
                  <w:r>
                    <w:rPr>
                      <w:rFonts w:hint="eastAsia" w:ascii="仿宋_GB2312" w:hAnsi="仿宋_GB2312" w:eastAsia="仿宋_GB2312" w:cs="仿宋_GB2312"/>
                      <w:bCs/>
                      <w:color w:val="000000"/>
                      <w:sz w:val="26"/>
                      <w:szCs w:val="26"/>
                      <w:lang w:eastAsia="zh-CN"/>
                    </w:rPr>
                    <w:t>：</w:t>
                  </w:r>
                  <w:r>
                    <w:rPr>
                      <w:rFonts w:hint="eastAsia" w:ascii="仿宋_GB2312" w:hAnsi="仿宋_GB2312" w:eastAsia="仿宋_GB2312" w:cs="仿宋_GB2312"/>
                      <w:bCs/>
                      <w:color w:val="000000"/>
                      <w:sz w:val="26"/>
                      <w:szCs w:val="26"/>
                    </w:rPr>
                    <w:t xml:space="preserve">          元整（</w:t>
                  </w:r>
                  <w:r>
                    <w:rPr>
                      <w:rFonts w:hint="eastAsia" w:ascii="仿宋_GB2312" w:hAnsi="仿宋_GB2312" w:eastAsia="仿宋_GB2312" w:cs="仿宋_GB2312"/>
                      <w:bCs/>
                      <w:color w:val="000000"/>
                      <w:sz w:val="26"/>
                      <w:szCs w:val="26"/>
                      <w:lang w:val="en-US" w:eastAsia="zh-CN"/>
                    </w:rPr>
                    <w:t xml:space="preserve">大写：     </w:t>
                  </w:r>
                  <w:r>
                    <w:rPr>
                      <w:rFonts w:hint="eastAsia" w:ascii="仿宋_GB2312" w:hAnsi="仿宋_GB2312" w:eastAsia="仿宋_GB2312" w:cs="仿宋_GB2312"/>
                      <w:bCs/>
                      <w:color w:val="000000"/>
                      <w:sz w:val="26"/>
                      <w:szCs w:val="26"/>
                    </w:rPr>
                    <w:t>）</w:t>
                  </w:r>
                </w:p>
              </w:tc>
            </w:tr>
          </w:tbl>
          <w:p w14:paraId="0286C4AD">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sz w:val="26"/>
                <w:szCs w:val="26"/>
              </w:rPr>
            </w:pPr>
            <w:r>
              <w:rPr>
                <w:rFonts w:hint="eastAsia" w:ascii="仿宋_GB2312" w:hAnsi="仿宋_GB2312" w:eastAsia="仿宋_GB2312" w:cs="仿宋_GB2312"/>
                <w:bCs/>
                <w:sz w:val="26"/>
                <w:szCs w:val="26"/>
              </w:rPr>
              <w:t>备注：合同包</w:t>
            </w:r>
            <w:r>
              <w:rPr>
                <w:rFonts w:hint="eastAsia" w:ascii="仿宋_GB2312" w:hAnsi="仿宋_GB2312" w:eastAsia="仿宋_GB2312" w:cs="仿宋_GB2312"/>
                <w:bCs/>
                <w:sz w:val="26"/>
                <w:szCs w:val="26"/>
                <w:u w:val="single"/>
              </w:rPr>
              <w:t xml:space="preserve">  </w:t>
            </w:r>
            <w:r>
              <w:rPr>
                <w:rFonts w:hint="eastAsia" w:ascii="仿宋_GB2312" w:hAnsi="仿宋_GB2312" w:eastAsia="仿宋_GB2312" w:cs="仿宋_GB2312"/>
                <w:bCs/>
                <w:sz w:val="26"/>
                <w:szCs w:val="26"/>
              </w:rPr>
              <w:t>品目号</w:t>
            </w:r>
            <w:r>
              <w:rPr>
                <w:rFonts w:hint="eastAsia" w:ascii="仿宋_GB2312" w:hAnsi="仿宋_GB2312" w:eastAsia="仿宋_GB2312" w:cs="仿宋_GB2312"/>
                <w:bCs/>
                <w:sz w:val="26"/>
                <w:szCs w:val="26"/>
                <w:u w:val="single"/>
              </w:rPr>
              <w:t xml:space="preserve">   </w:t>
            </w:r>
            <w:r>
              <w:rPr>
                <w:rFonts w:hint="eastAsia" w:ascii="仿宋_GB2312" w:hAnsi="仿宋_GB2312" w:eastAsia="仿宋_GB2312" w:cs="仿宋_GB2312"/>
                <w:bCs/>
                <w:sz w:val="26"/>
                <w:szCs w:val="26"/>
              </w:rPr>
              <w:t xml:space="preserve"> ， </w:t>
            </w:r>
            <w:r>
              <w:rPr>
                <w:rFonts w:hint="eastAsia" w:ascii="仿宋_GB2312" w:hAnsi="仿宋_GB2312" w:eastAsia="仿宋_GB2312" w:cs="仿宋_GB2312"/>
                <w:bCs/>
                <w:sz w:val="26"/>
                <w:szCs w:val="26"/>
                <w:u w:val="single"/>
              </w:rPr>
              <w:t xml:space="preserve">            </w:t>
            </w:r>
            <w:r>
              <w:rPr>
                <w:rFonts w:hint="eastAsia" w:ascii="仿宋_GB2312" w:hAnsi="仿宋_GB2312" w:eastAsia="仿宋_GB2312" w:cs="仿宋_GB2312"/>
                <w:bCs/>
                <w:sz w:val="26"/>
                <w:szCs w:val="26"/>
              </w:rPr>
              <w:t>为核心产品。</w:t>
            </w:r>
          </w:p>
          <w:p w14:paraId="671D1ACB">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1</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请列明1个核心产品可用文字或符号标记，根据采购项目的技术构成、产品价格比重等合理确定核心产品，用来投标时判定是否有三个品牌响应。</w:t>
            </w:r>
          </w:p>
          <w:p w14:paraId="0456148D">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2</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对同款产品应汇总合计确保货物名称一致、单价一致。</w:t>
            </w:r>
          </w:p>
          <w:p w14:paraId="12D83172">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3</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非同款产品请按某种方式分类汇总排列产品，如按设备类、家具类、文化装饰类、装修类次序排列产品。</w:t>
            </w:r>
          </w:p>
          <w:p w14:paraId="29F5DE4F">
            <w:pPr>
              <w:keepNext w:val="0"/>
              <w:keepLines w:val="0"/>
              <w:pageBreakBefore w:val="0"/>
              <w:numPr>
                <w:ilvl w:val="0"/>
                <w:numId w:val="0"/>
              </w:numPr>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sz w:val="26"/>
                <w:szCs w:val="26"/>
              </w:rPr>
            </w:pPr>
            <w:r>
              <w:rPr>
                <w:rFonts w:hint="eastAsia" w:ascii="仿宋_GB2312" w:hAnsi="仿宋_GB2312" w:eastAsia="仿宋_GB2312" w:cs="仿宋_GB2312"/>
                <w:b/>
                <w:sz w:val="26"/>
                <w:szCs w:val="26"/>
                <w:lang w:val="en-US" w:eastAsia="zh-CN"/>
              </w:rPr>
              <w:t>二、</w:t>
            </w:r>
            <w:r>
              <w:rPr>
                <w:rFonts w:hint="eastAsia" w:ascii="仿宋_GB2312" w:hAnsi="仿宋_GB2312" w:eastAsia="仿宋_GB2312" w:cs="仿宋_GB2312"/>
                <w:b/>
                <w:sz w:val="26"/>
                <w:szCs w:val="26"/>
              </w:rPr>
              <w:t>货物技术规格及要求</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382"/>
              <w:gridCol w:w="1532"/>
              <w:gridCol w:w="6201"/>
            </w:tblGrid>
            <w:tr w14:paraId="0037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594" w:type="pct"/>
                  <w:vAlign w:val="center"/>
                </w:tcPr>
                <w:p w14:paraId="290208A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合同包</w:t>
                  </w:r>
                </w:p>
              </w:tc>
              <w:tc>
                <w:tcPr>
                  <w:tcW w:w="667" w:type="pct"/>
                  <w:vAlign w:val="center"/>
                </w:tcPr>
                <w:p w14:paraId="79E5747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品目号</w:t>
                  </w:r>
                </w:p>
              </w:tc>
              <w:tc>
                <w:tcPr>
                  <w:tcW w:w="740" w:type="pct"/>
                  <w:vAlign w:val="center"/>
                </w:tcPr>
                <w:p w14:paraId="6883576D">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货物名称</w:t>
                  </w:r>
                </w:p>
              </w:tc>
              <w:tc>
                <w:tcPr>
                  <w:tcW w:w="2996" w:type="pct"/>
                  <w:vAlign w:val="center"/>
                </w:tcPr>
                <w:p w14:paraId="1F28EC7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技术规格及要求</w:t>
                  </w:r>
                </w:p>
              </w:tc>
            </w:tr>
            <w:tr w14:paraId="7D308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pct"/>
                  <w:vMerge w:val="restart"/>
                  <w:vAlign w:val="center"/>
                </w:tcPr>
                <w:p w14:paraId="09E54DB0">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bCs/>
                      <w:color w:val="000000"/>
                      <w:kern w:val="0"/>
                      <w:sz w:val="26"/>
                      <w:szCs w:val="26"/>
                    </w:rPr>
                    <w:t>1</w:t>
                  </w:r>
                </w:p>
              </w:tc>
              <w:tc>
                <w:tcPr>
                  <w:tcW w:w="667" w:type="pct"/>
                  <w:vAlign w:val="center"/>
                </w:tcPr>
                <w:p w14:paraId="3ED7F53D">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bookmarkStart w:id="0" w:name="_Toc10192"/>
                  <w:bookmarkStart w:id="1" w:name="_Toc22389"/>
                  <w:r>
                    <w:rPr>
                      <w:rFonts w:hint="eastAsia" w:ascii="仿宋_GB2312" w:hAnsi="仿宋_GB2312" w:eastAsia="仿宋_GB2312" w:cs="仿宋_GB2312"/>
                      <w:color w:val="000000"/>
                      <w:kern w:val="0"/>
                      <w:sz w:val="26"/>
                      <w:szCs w:val="26"/>
                    </w:rPr>
                    <w:t>1-1</w:t>
                  </w:r>
                </w:p>
                <w:bookmarkEnd w:id="0"/>
                <w:bookmarkEnd w:id="1"/>
              </w:tc>
              <w:tc>
                <w:tcPr>
                  <w:tcW w:w="740" w:type="pct"/>
                  <w:vAlign w:val="center"/>
                </w:tcPr>
                <w:p w14:paraId="16F87BC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2996" w:type="pct"/>
                  <w:vAlign w:val="center"/>
                </w:tcPr>
                <w:p w14:paraId="1ABC8E94">
                  <w:pPr>
                    <w:pStyle w:val="16"/>
                    <w:keepNext w:val="0"/>
                    <w:keepLines w:val="0"/>
                    <w:pageBreakBefore w:val="0"/>
                    <w:kinsoku/>
                    <w:wordWrap/>
                    <w:overflowPunct/>
                    <w:topLinePunct w:val="0"/>
                    <w:autoSpaceDE/>
                    <w:autoSpaceDN/>
                    <w:bidi w:val="0"/>
                    <w:adjustRightInd/>
                    <w:spacing w:line="460" w:lineRule="exact"/>
                    <w:ind w:firstLine="0" w:firstLineChars="0"/>
                    <w:jc w:val="left"/>
                    <w:rPr>
                      <w:rFonts w:hint="eastAsia" w:ascii="仿宋_GB2312" w:hAnsi="仿宋_GB2312" w:eastAsia="仿宋_GB2312" w:cs="仿宋_GB2312"/>
                      <w:color w:val="000000"/>
                      <w:sz w:val="26"/>
                      <w:szCs w:val="26"/>
                    </w:rPr>
                  </w:pPr>
                </w:p>
              </w:tc>
            </w:tr>
            <w:tr w14:paraId="3A7B5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pct"/>
                  <w:vMerge w:val="continue"/>
                  <w:vAlign w:val="center"/>
                </w:tcPr>
                <w:p w14:paraId="6D6A6C7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67" w:type="pct"/>
                  <w:vAlign w:val="center"/>
                </w:tcPr>
                <w:p w14:paraId="5CF9321F">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1-2</w:t>
                  </w:r>
                </w:p>
              </w:tc>
              <w:tc>
                <w:tcPr>
                  <w:tcW w:w="740" w:type="pct"/>
                  <w:vAlign w:val="center"/>
                </w:tcPr>
                <w:p w14:paraId="6A3E8986">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2996" w:type="pct"/>
                  <w:vAlign w:val="center"/>
                </w:tcPr>
                <w:p w14:paraId="769C7DAF">
                  <w:pPr>
                    <w:pStyle w:val="16"/>
                    <w:keepNext w:val="0"/>
                    <w:keepLines w:val="0"/>
                    <w:pageBreakBefore w:val="0"/>
                    <w:kinsoku/>
                    <w:wordWrap/>
                    <w:overflowPunct/>
                    <w:topLinePunct w:val="0"/>
                    <w:autoSpaceDE/>
                    <w:autoSpaceDN/>
                    <w:bidi w:val="0"/>
                    <w:adjustRightInd/>
                    <w:spacing w:line="460" w:lineRule="exact"/>
                    <w:ind w:firstLine="0" w:firstLineChars="0"/>
                    <w:jc w:val="left"/>
                    <w:rPr>
                      <w:rFonts w:hint="eastAsia" w:ascii="仿宋_GB2312" w:hAnsi="仿宋_GB2312" w:eastAsia="仿宋_GB2312" w:cs="仿宋_GB2312"/>
                      <w:color w:val="000000"/>
                      <w:sz w:val="26"/>
                      <w:szCs w:val="26"/>
                    </w:rPr>
                  </w:pPr>
                </w:p>
              </w:tc>
            </w:tr>
            <w:tr w14:paraId="5FEA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4" w:type="pct"/>
                  <w:vMerge w:val="continue"/>
                  <w:vAlign w:val="center"/>
                </w:tcPr>
                <w:p w14:paraId="6A29A1B7">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67" w:type="pct"/>
                  <w:vAlign w:val="center"/>
                </w:tcPr>
                <w:p w14:paraId="3C23BD58">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w:t>
                  </w:r>
                </w:p>
              </w:tc>
              <w:tc>
                <w:tcPr>
                  <w:tcW w:w="740" w:type="pct"/>
                  <w:vAlign w:val="center"/>
                </w:tcPr>
                <w:p w14:paraId="484947DF">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2996" w:type="pct"/>
                  <w:vAlign w:val="center"/>
                </w:tcPr>
                <w:p w14:paraId="14BB897F">
                  <w:pPr>
                    <w:pStyle w:val="16"/>
                    <w:keepNext w:val="0"/>
                    <w:keepLines w:val="0"/>
                    <w:pageBreakBefore w:val="0"/>
                    <w:kinsoku/>
                    <w:wordWrap/>
                    <w:overflowPunct/>
                    <w:topLinePunct w:val="0"/>
                    <w:autoSpaceDE/>
                    <w:autoSpaceDN/>
                    <w:bidi w:val="0"/>
                    <w:adjustRightInd/>
                    <w:spacing w:line="460" w:lineRule="exact"/>
                    <w:ind w:firstLine="0" w:firstLineChars="0"/>
                    <w:jc w:val="left"/>
                    <w:rPr>
                      <w:rFonts w:hint="eastAsia" w:ascii="仿宋_GB2312" w:hAnsi="仿宋_GB2312" w:eastAsia="仿宋_GB2312" w:cs="仿宋_GB2312"/>
                      <w:color w:val="000000"/>
                      <w:sz w:val="26"/>
                      <w:szCs w:val="26"/>
                    </w:rPr>
                  </w:pPr>
                </w:p>
              </w:tc>
            </w:tr>
          </w:tbl>
          <w:p w14:paraId="5CE2E4CB">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rPr>
              <w:t>注：</w:t>
            </w:r>
          </w:p>
          <w:p w14:paraId="79741341">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1</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 xml:space="preserve"> 若有涉及证书、检测报告、截图等其他证明材料的请加粗或下划线标记，不建议要求过多客观性证明材料存在排他性。</w:t>
            </w:r>
          </w:p>
          <w:p w14:paraId="3F07DA70">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2</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所有货物的技术规格及要求应在市场上至少有三个品牌的产品能满足。</w:t>
            </w:r>
          </w:p>
          <w:p w14:paraId="127E5A98">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3</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技术规格要求的描述上应避免广告性推销词汇或表述，避免照搬说明书或指导书条款，注重描述功能和必要的技术指标，</w:t>
            </w:r>
            <w:r>
              <w:rPr>
                <w:rFonts w:hint="eastAsia" w:ascii="仿宋_GB2312" w:hAnsi="仿宋_GB2312" w:eastAsia="仿宋_GB2312" w:cs="仿宋_GB2312"/>
                <w:bCs/>
                <w:color w:val="FF0000"/>
                <w:sz w:val="26"/>
                <w:szCs w:val="26"/>
                <w:u w:val="single"/>
              </w:rPr>
              <w:t>不能出现品牌型号。</w:t>
            </w:r>
          </w:p>
          <w:p w14:paraId="15D98845">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4</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所有固定值技术规格应增加偏差区间或者技术规格采用区间范围描述。例如：±5mm或±3%或≥5kg或以下参数涉及固定数值，若未给出偏离范围的均允许偏离±1%等。</w:t>
            </w:r>
          </w:p>
          <w:p w14:paraId="430D10A7">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5</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设备类产品，若无需空间限制或非技术关键指标，请尽量不要描写设备的外观尺寸或外包装尺寸或设备总体重量，易存在倾向性。</w:t>
            </w:r>
          </w:p>
          <w:p w14:paraId="730B7325">
            <w:pPr>
              <w:keepNext w:val="0"/>
              <w:keepLines w:val="0"/>
              <w:pageBreakBefore w:val="0"/>
              <w:widowControl w:val="0"/>
              <w:kinsoku/>
              <w:wordWrap w:val="0"/>
              <w:overflowPunct/>
              <w:topLinePunct w:val="0"/>
              <w:autoSpaceDE/>
              <w:autoSpaceDN/>
              <w:bidi w:val="0"/>
              <w:adjustRightInd/>
              <w:snapToGrid/>
              <w:spacing w:line="460" w:lineRule="exact"/>
              <w:ind w:firstLine="520" w:firstLineChars="200"/>
              <w:jc w:val="left"/>
              <w:textAlignment w:val="auto"/>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lang w:val="en-US" w:eastAsia="zh-CN"/>
              </w:rPr>
              <w:t>6</w:t>
            </w:r>
            <w:r>
              <w:rPr>
                <w:rFonts w:hint="eastAsia" w:ascii="仿宋_GB2312" w:hAnsi="仿宋_GB2312" w:eastAsia="仿宋_GB2312" w:cs="仿宋_GB2312"/>
                <w:bCs/>
                <w:color w:val="FF0000"/>
                <w:sz w:val="26"/>
                <w:szCs w:val="26"/>
                <w:lang w:eastAsia="zh-CN"/>
              </w:rPr>
              <w:t>）</w:t>
            </w:r>
            <w:r>
              <w:rPr>
                <w:rFonts w:hint="eastAsia" w:ascii="仿宋_GB2312" w:hAnsi="仿宋_GB2312" w:eastAsia="仿宋_GB2312" w:cs="仿宋_GB2312"/>
                <w:bCs/>
                <w:color w:val="FF0000"/>
                <w:sz w:val="26"/>
                <w:szCs w:val="26"/>
              </w:rPr>
              <w:t>遵守《福建省财政厅关于加强对政府采购招标文件公告歧视性和倾向性条款审查的通知》</w:t>
            </w:r>
            <w:r>
              <w:rPr>
                <w:rFonts w:hint="eastAsia" w:ascii="仿宋_GB2312" w:hAnsi="仿宋_GB2312" w:eastAsia="仿宋_GB2312" w:cs="仿宋_GB2312"/>
                <w:bCs/>
                <w:color w:val="FF0000"/>
                <w:sz w:val="26"/>
                <w:szCs w:val="26"/>
              </w:rPr>
              <w:fldChar w:fldCharType="begin"/>
            </w:r>
            <w:r>
              <w:rPr>
                <w:rFonts w:hint="eastAsia" w:ascii="仿宋_GB2312" w:hAnsi="仿宋_GB2312" w:eastAsia="仿宋_GB2312" w:cs="仿宋_GB2312"/>
                <w:bCs/>
                <w:color w:val="FF0000"/>
                <w:sz w:val="26"/>
                <w:szCs w:val="26"/>
              </w:rPr>
              <w:instrText xml:space="preserve"> HYPERLINK "http://www.ccgp-fujian.gov.cn/3500/article/d2bad35854053876b45269f56e50dee2/d1ceb4f40bed11e8879c005056b215d0/" </w:instrText>
            </w:r>
            <w:r>
              <w:rPr>
                <w:rFonts w:hint="eastAsia" w:ascii="仿宋_GB2312" w:hAnsi="仿宋_GB2312" w:eastAsia="仿宋_GB2312" w:cs="仿宋_GB2312"/>
                <w:bCs/>
                <w:color w:val="FF0000"/>
                <w:sz w:val="26"/>
                <w:szCs w:val="26"/>
              </w:rPr>
              <w:fldChar w:fldCharType="separate"/>
            </w:r>
            <w:r>
              <w:rPr>
                <w:rStyle w:val="13"/>
                <w:rFonts w:hint="eastAsia" w:ascii="仿宋_GB2312" w:hAnsi="仿宋_GB2312" w:eastAsia="仿宋_GB2312" w:cs="仿宋_GB2312"/>
                <w:bCs/>
                <w:sz w:val="26"/>
                <w:szCs w:val="26"/>
              </w:rPr>
              <w:t>http://www.ccgp-fujian.gov.cn/3500/article/d2bad35854053876b45269f56e50dee2/d1ceb4f40bed11e8879c005056b215d0/</w:t>
            </w:r>
            <w:r>
              <w:rPr>
                <w:rFonts w:hint="eastAsia" w:ascii="仿宋_GB2312" w:hAnsi="仿宋_GB2312" w:eastAsia="仿宋_GB2312" w:cs="仿宋_GB2312"/>
                <w:bCs/>
                <w:color w:val="FF0000"/>
                <w:sz w:val="26"/>
                <w:szCs w:val="26"/>
              </w:rPr>
              <w:fldChar w:fldCharType="end"/>
            </w:r>
          </w:p>
          <w:p w14:paraId="625F79FA">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Cs/>
                <w:sz w:val="26"/>
                <w:szCs w:val="26"/>
                <w:lang w:val="en-US" w:eastAsia="zh-CN"/>
              </w:rPr>
              <w:t xml:space="preserve">  三、</w:t>
            </w:r>
            <w:r>
              <w:rPr>
                <w:rFonts w:hint="eastAsia" w:ascii="仿宋_GB2312" w:hAnsi="仿宋_GB2312" w:eastAsia="仿宋_GB2312" w:cs="仿宋_GB2312"/>
                <w:b/>
                <w:bCs w:val="0"/>
                <w:sz w:val="26"/>
                <w:szCs w:val="26"/>
              </w:rPr>
              <w:t>要求提供样品或者小样</w:t>
            </w:r>
            <w:r>
              <w:rPr>
                <w:rFonts w:hint="eastAsia" w:ascii="仿宋_GB2312" w:hAnsi="仿宋_GB2312" w:eastAsia="仿宋_GB2312" w:cs="仿宋_GB2312"/>
                <w:b/>
                <w:bCs w:val="0"/>
                <w:color w:val="FF0000"/>
                <w:sz w:val="26"/>
                <w:szCs w:val="26"/>
              </w:rPr>
              <w:t>（若无</w:t>
            </w:r>
            <w:r>
              <w:rPr>
                <w:rFonts w:hint="eastAsia" w:ascii="仿宋_GB2312" w:hAnsi="仿宋_GB2312" w:eastAsia="仿宋_GB2312" w:cs="仿宋_GB2312"/>
                <w:b/>
                <w:bCs w:val="0"/>
                <w:color w:val="FF0000"/>
                <w:sz w:val="26"/>
                <w:szCs w:val="26"/>
                <w:lang w:val="en-US" w:eastAsia="zh-CN"/>
              </w:rPr>
              <w:t>提供样品要求</w:t>
            </w:r>
            <w:r>
              <w:rPr>
                <w:rFonts w:hint="eastAsia" w:ascii="仿宋_GB2312" w:hAnsi="仿宋_GB2312" w:eastAsia="仿宋_GB2312" w:cs="仿宋_GB2312"/>
                <w:b/>
                <w:bCs w:val="0"/>
                <w:color w:val="FF0000"/>
                <w:sz w:val="26"/>
                <w:szCs w:val="26"/>
              </w:rPr>
              <w:t>，</w:t>
            </w:r>
            <w:r>
              <w:rPr>
                <w:rFonts w:hint="eastAsia" w:ascii="仿宋_GB2312" w:hAnsi="仿宋_GB2312" w:eastAsia="仿宋_GB2312" w:cs="仿宋_GB2312"/>
                <w:b/>
                <w:color w:val="FF0000"/>
                <w:sz w:val="26"/>
                <w:szCs w:val="26"/>
                <w:lang w:val="en-US" w:eastAsia="zh-CN"/>
              </w:rPr>
              <w:t>可删除此部分内容</w:t>
            </w:r>
            <w:r>
              <w:rPr>
                <w:rFonts w:hint="eastAsia" w:ascii="仿宋_GB2312" w:hAnsi="仿宋_GB2312" w:eastAsia="仿宋_GB2312" w:cs="仿宋_GB2312"/>
                <w:b/>
                <w:bCs w:val="0"/>
                <w:color w:val="FF0000"/>
                <w:sz w:val="26"/>
                <w:szCs w:val="26"/>
              </w:rPr>
              <w:t>）</w:t>
            </w:r>
          </w:p>
          <w:p w14:paraId="5069E934">
            <w:pPr>
              <w:pStyle w:val="7"/>
              <w:keepNext w:val="0"/>
              <w:keepLines w:val="0"/>
              <w:pageBreakBefore w:val="0"/>
              <w:kinsoku/>
              <w:wordWrap/>
              <w:overflowPunct/>
              <w:topLinePunct w:val="0"/>
              <w:autoSpaceDE/>
              <w:autoSpaceDN/>
              <w:bidi w:val="0"/>
              <w:adjustRightInd/>
              <w:spacing w:after="150" w:line="460" w:lineRule="exact"/>
              <w:ind w:right="-180" w:firstLine="520" w:firstLineChars="200"/>
              <w:rPr>
                <w:rFonts w:hint="eastAsia" w:ascii="仿宋_GB2312" w:hAnsi="仿宋_GB2312" w:eastAsia="仿宋_GB2312" w:cs="仿宋_GB2312"/>
                <w:sz w:val="26"/>
                <w:szCs w:val="26"/>
              </w:rPr>
            </w:pPr>
            <w:r>
              <w:rPr>
                <w:rFonts w:hint="eastAsia" w:ascii="仿宋_GB2312" w:hAnsi="仿宋_GB2312" w:eastAsia="仿宋_GB2312" w:cs="仿宋_GB2312"/>
                <w:sz w:val="26"/>
                <w:szCs w:val="26"/>
              </w:rPr>
              <w:t>因书面方式不能准确描述采购需求，需要对样品进行判断以确认是否满足采购需求，故要求投标人按以下要求提供小样样品：</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772"/>
              <w:gridCol w:w="676"/>
              <w:gridCol w:w="3633"/>
              <w:gridCol w:w="1816"/>
            </w:tblGrid>
            <w:tr w14:paraId="0E1F3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0" w:type="dxa"/>
                  <w:gridSpan w:val="5"/>
                  <w:noWrap w:val="0"/>
                  <w:vAlign w:val="center"/>
                </w:tcPr>
                <w:p w14:paraId="0AEE7363">
                  <w:pPr>
                    <w:keepNext w:val="0"/>
                    <w:keepLines w:val="0"/>
                    <w:pageBreakBefore w:val="0"/>
                    <w:kinsoku/>
                    <w:wordWrap/>
                    <w:overflowPunct/>
                    <w:topLinePunct w:val="0"/>
                    <w:autoSpaceDE/>
                    <w:autoSpaceDN/>
                    <w:bidi w:val="0"/>
                    <w:adjustRightInd/>
                    <w:snapToGrid w:val="0"/>
                    <w:spacing w:line="460" w:lineRule="exact"/>
                    <w:rPr>
                      <w:rFonts w:hint="eastAsia" w:ascii="仿宋_GB2312" w:hAnsi="仿宋_GB2312" w:eastAsia="仿宋_GB2312" w:cs="仿宋_GB2312"/>
                      <w:sz w:val="26"/>
                      <w:szCs w:val="26"/>
                    </w:rPr>
                  </w:pPr>
                  <w:r>
                    <w:rPr>
                      <w:rFonts w:hint="eastAsia" w:ascii="仿宋_GB2312" w:hAnsi="仿宋_GB2312" w:eastAsia="仿宋_GB2312" w:cs="仿宋_GB2312"/>
                      <w:sz w:val="26"/>
                      <w:szCs w:val="26"/>
                    </w:rPr>
                    <w:t>小样样品清单：</w:t>
                  </w:r>
                </w:p>
              </w:tc>
            </w:tr>
            <w:tr w14:paraId="518B6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noWrap w:val="0"/>
                  <w:vAlign w:val="center"/>
                </w:tcPr>
                <w:p w14:paraId="1127EA75">
                  <w:pPr>
                    <w:keepNext w:val="0"/>
                    <w:keepLines w:val="0"/>
                    <w:pageBreakBefore w:val="0"/>
                    <w:widowControl/>
                    <w:kinsoku/>
                    <w:wordWrap/>
                    <w:overflowPunct/>
                    <w:topLinePunct w:val="0"/>
                    <w:autoSpaceDE/>
                    <w:autoSpaceDN/>
                    <w:bidi w:val="0"/>
                    <w:adjustRightInd/>
                    <w:spacing w:line="460" w:lineRule="exact"/>
                    <w:jc w:val="center"/>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w:t>
                  </w:r>
                </w:p>
              </w:tc>
              <w:tc>
                <w:tcPr>
                  <w:tcW w:w="1772" w:type="dxa"/>
                  <w:noWrap w:val="0"/>
                  <w:vAlign w:val="center"/>
                </w:tcPr>
                <w:p w14:paraId="78D731B4">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lang w:val="en-US" w:eastAsia="zh-CN"/>
                    </w:rPr>
                  </w:pPr>
                  <w:r>
                    <w:rPr>
                      <w:rFonts w:hint="eastAsia" w:ascii="仿宋_GB2312" w:hAnsi="仿宋_GB2312" w:eastAsia="仿宋_GB2312" w:cs="仿宋_GB2312"/>
                      <w:kern w:val="0"/>
                      <w:sz w:val="26"/>
                      <w:szCs w:val="26"/>
                    </w:rPr>
                    <w:t>品目1-</w:t>
                  </w:r>
                  <w:r>
                    <w:rPr>
                      <w:rFonts w:hint="eastAsia" w:ascii="仿宋_GB2312" w:hAnsi="仿宋_GB2312" w:eastAsia="仿宋_GB2312" w:cs="仿宋_GB2312"/>
                      <w:kern w:val="0"/>
                      <w:sz w:val="26"/>
                      <w:szCs w:val="26"/>
                      <w:lang w:val="en-US" w:eastAsia="zh-CN"/>
                    </w:rPr>
                    <w:t>1</w:t>
                  </w:r>
                </w:p>
              </w:tc>
              <w:tc>
                <w:tcPr>
                  <w:tcW w:w="676" w:type="dxa"/>
                  <w:noWrap w:val="0"/>
                  <w:vAlign w:val="center"/>
                </w:tcPr>
                <w:p w14:paraId="7598B60F">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1张</w:t>
                  </w:r>
                </w:p>
              </w:tc>
              <w:tc>
                <w:tcPr>
                  <w:tcW w:w="3633" w:type="dxa"/>
                  <w:noWrap w:val="0"/>
                  <w:vAlign w:val="center"/>
                </w:tcPr>
                <w:p w14:paraId="296DF684">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详细参数详见技术参数，样品评审要求：样品须符合技术参数要求。</w:t>
                  </w:r>
                </w:p>
              </w:tc>
              <w:tc>
                <w:tcPr>
                  <w:tcW w:w="1816" w:type="dxa"/>
                  <w:vMerge w:val="restart"/>
                  <w:noWrap w:val="0"/>
                  <w:vAlign w:val="center"/>
                </w:tcPr>
                <w:p w14:paraId="1EA6C60C">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所有部件不能采用3D打印件，必须为成品部件。提供3D打印部件的，将按照无效报价处理。</w:t>
                  </w:r>
                </w:p>
              </w:tc>
            </w:tr>
            <w:tr w14:paraId="1C389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183" w:type="dxa"/>
                  <w:noWrap w:val="0"/>
                  <w:vAlign w:val="center"/>
                </w:tcPr>
                <w:p w14:paraId="7A7E9A17">
                  <w:pPr>
                    <w:keepNext w:val="0"/>
                    <w:keepLines w:val="0"/>
                    <w:pageBreakBefore w:val="0"/>
                    <w:widowControl/>
                    <w:kinsoku/>
                    <w:wordWrap/>
                    <w:overflowPunct/>
                    <w:topLinePunct w:val="0"/>
                    <w:autoSpaceDE/>
                    <w:autoSpaceDN/>
                    <w:bidi w:val="0"/>
                    <w:adjustRightInd/>
                    <w:spacing w:line="460" w:lineRule="exact"/>
                    <w:jc w:val="center"/>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2</w:t>
                  </w:r>
                </w:p>
              </w:tc>
              <w:tc>
                <w:tcPr>
                  <w:tcW w:w="1772" w:type="dxa"/>
                  <w:noWrap w:val="0"/>
                  <w:vAlign w:val="center"/>
                </w:tcPr>
                <w:p w14:paraId="6B682664">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lang w:val="en-US" w:eastAsia="zh-CN"/>
                    </w:rPr>
                  </w:pPr>
                  <w:r>
                    <w:rPr>
                      <w:rFonts w:hint="eastAsia" w:ascii="仿宋_GB2312" w:hAnsi="仿宋_GB2312" w:eastAsia="仿宋_GB2312" w:cs="仿宋_GB2312"/>
                      <w:kern w:val="0"/>
                      <w:sz w:val="26"/>
                      <w:szCs w:val="26"/>
                    </w:rPr>
                    <w:t>品目1-</w:t>
                  </w:r>
                  <w:r>
                    <w:rPr>
                      <w:rFonts w:hint="eastAsia" w:ascii="仿宋_GB2312" w:hAnsi="仿宋_GB2312" w:eastAsia="仿宋_GB2312" w:cs="仿宋_GB2312"/>
                      <w:kern w:val="0"/>
                      <w:sz w:val="26"/>
                      <w:szCs w:val="26"/>
                      <w:lang w:val="en-US" w:eastAsia="zh-CN"/>
                    </w:rPr>
                    <w:t>2</w:t>
                  </w:r>
                </w:p>
              </w:tc>
              <w:tc>
                <w:tcPr>
                  <w:tcW w:w="676" w:type="dxa"/>
                  <w:noWrap w:val="0"/>
                  <w:vAlign w:val="center"/>
                </w:tcPr>
                <w:p w14:paraId="21341AB1">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1根</w:t>
                  </w:r>
                </w:p>
              </w:tc>
              <w:tc>
                <w:tcPr>
                  <w:tcW w:w="3633" w:type="dxa"/>
                  <w:noWrap w:val="0"/>
                  <w:vAlign w:val="center"/>
                </w:tcPr>
                <w:p w14:paraId="61B60D8A">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长度不小于</w:t>
                  </w:r>
                  <w:r>
                    <w:rPr>
                      <w:rFonts w:hint="eastAsia" w:ascii="仿宋_GB2312" w:hAnsi="仿宋_GB2312" w:eastAsia="仿宋_GB2312" w:cs="仿宋_GB2312"/>
                      <w:kern w:val="0"/>
                      <w:sz w:val="26"/>
                      <w:szCs w:val="26"/>
                      <w:highlight w:val="yellow"/>
                    </w:rPr>
                    <w:t>400mm</w:t>
                  </w:r>
                  <w:r>
                    <w:rPr>
                      <w:rFonts w:hint="eastAsia" w:ascii="仿宋_GB2312" w:hAnsi="仿宋_GB2312" w:eastAsia="仿宋_GB2312" w:cs="仿宋_GB2312"/>
                      <w:kern w:val="0"/>
                      <w:sz w:val="26"/>
                      <w:szCs w:val="26"/>
                    </w:rPr>
                    <w:t>，参数详见技术参数，样品评审要求：样品须符合技术参数要求。</w:t>
                  </w:r>
                </w:p>
              </w:tc>
              <w:tc>
                <w:tcPr>
                  <w:tcW w:w="1816" w:type="dxa"/>
                  <w:vMerge w:val="continue"/>
                  <w:noWrap w:val="0"/>
                  <w:vAlign w:val="top"/>
                </w:tcPr>
                <w:p w14:paraId="2A06171C">
                  <w:pPr>
                    <w:keepNext w:val="0"/>
                    <w:keepLines w:val="0"/>
                    <w:pageBreakBefore w:val="0"/>
                    <w:widowControl/>
                    <w:kinsoku/>
                    <w:wordWrap/>
                    <w:overflowPunct/>
                    <w:topLinePunct w:val="0"/>
                    <w:autoSpaceDE/>
                    <w:autoSpaceDN/>
                    <w:bidi w:val="0"/>
                    <w:adjustRightInd/>
                    <w:spacing w:line="460" w:lineRule="exact"/>
                    <w:jc w:val="left"/>
                    <w:textAlignment w:val="center"/>
                    <w:rPr>
                      <w:rFonts w:hint="eastAsia" w:ascii="仿宋_GB2312" w:hAnsi="仿宋_GB2312" w:eastAsia="仿宋_GB2312" w:cs="仿宋_GB2312"/>
                      <w:kern w:val="0"/>
                      <w:sz w:val="26"/>
                      <w:szCs w:val="26"/>
                    </w:rPr>
                  </w:pPr>
                </w:p>
              </w:tc>
            </w:tr>
          </w:tbl>
          <w:p w14:paraId="1DCE9FB7">
            <w:pPr>
              <w:keepNext w:val="0"/>
              <w:keepLines w:val="0"/>
              <w:pageBreakBefore w:val="0"/>
              <w:kinsoku/>
              <w:wordWrap/>
              <w:overflowPunct/>
              <w:topLinePunct w:val="0"/>
              <w:autoSpaceDE/>
              <w:autoSpaceDN/>
              <w:bidi w:val="0"/>
              <w:adjustRightInd/>
              <w:snapToGrid w:val="0"/>
              <w:spacing w:line="460" w:lineRule="exact"/>
              <w:ind w:firstLine="520" w:firstLineChars="200"/>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注：</w:t>
            </w:r>
          </w:p>
          <w:p w14:paraId="66E4C571">
            <w:pPr>
              <w:keepNext w:val="0"/>
              <w:keepLines w:val="0"/>
              <w:pageBreakBefore w:val="0"/>
              <w:kinsoku/>
              <w:wordWrap/>
              <w:overflowPunct/>
              <w:topLinePunct w:val="0"/>
              <w:autoSpaceDE/>
              <w:autoSpaceDN/>
              <w:bidi w:val="0"/>
              <w:adjustRightInd/>
              <w:snapToGrid w:val="0"/>
              <w:spacing w:line="460" w:lineRule="exact"/>
              <w:ind w:firstLine="520" w:firstLineChars="200"/>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（1）投标人的样品须在投标文件递交截止前一个工作日下午16:00(北京时间）之前递交到开标地点并安装完毕。投标样品上标明样品名称。投标样品本身不能有可以识别投标人的任何标记，否则视为无效投标。</w:t>
            </w:r>
          </w:p>
          <w:p w14:paraId="6BD8E20D">
            <w:pPr>
              <w:keepNext w:val="0"/>
              <w:keepLines w:val="0"/>
              <w:pageBreakBefore w:val="0"/>
              <w:kinsoku/>
              <w:wordWrap/>
              <w:overflowPunct/>
              <w:topLinePunct w:val="0"/>
              <w:autoSpaceDE/>
              <w:autoSpaceDN/>
              <w:bidi w:val="0"/>
              <w:adjustRightInd/>
              <w:snapToGrid w:val="0"/>
              <w:spacing w:line="460" w:lineRule="exact"/>
              <w:ind w:firstLine="520" w:firstLineChars="200"/>
              <w:rPr>
                <w:rFonts w:hint="eastAsia"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（2）样品尺寸规格允许</w:t>
            </w:r>
            <w:r>
              <w:rPr>
                <w:rFonts w:hint="eastAsia" w:ascii="仿宋_GB2312" w:hAnsi="仿宋_GB2312" w:eastAsia="仿宋_GB2312" w:cs="仿宋_GB2312"/>
                <w:sz w:val="26"/>
                <w:szCs w:val="26"/>
              </w:rPr>
              <w:t>规定的数值范围内存在</w:t>
            </w:r>
            <w:r>
              <w:rPr>
                <w:rFonts w:hint="eastAsia" w:ascii="仿宋_GB2312" w:hAnsi="仿宋_GB2312" w:eastAsia="仿宋_GB2312" w:cs="仿宋_GB2312"/>
                <w:color w:val="auto"/>
                <w:sz w:val="26"/>
                <w:szCs w:val="26"/>
                <w:highlight w:val="yellow"/>
              </w:rPr>
              <w:t>±2%（含2%）</w:t>
            </w:r>
            <w:r>
              <w:rPr>
                <w:rFonts w:hint="eastAsia" w:ascii="仿宋_GB2312" w:hAnsi="仿宋_GB2312" w:eastAsia="仿宋_GB2312" w:cs="仿宋_GB2312"/>
                <w:sz w:val="26"/>
                <w:szCs w:val="26"/>
              </w:rPr>
              <w:t>的偏离</w:t>
            </w:r>
            <w:r>
              <w:rPr>
                <w:rFonts w:hint="eastAsia" w:ascii="仿宋_GB2312" w:hAnsi="仿宋_GB2312" w:eastAsia="仿宋_GB2312" w:cs="仿宋_GB2312"/>
                <w:kern w:val="0"/>
                <w:sz w:val="26"/>
                <w:szCs w:val="26"/>
              </w:rPr>
              <w:t>，所有样品均不允许3D打印制作，否则视为未实质响应招标文件的技术要求，按无效投标处理。</w:t>
            </w:r>
          </w:p>
          <w:p w14:paraId="44C333AA">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sz w:val="26"/>
                <w:szCs w:val="26"/>
                <w:lang w:val="en-US" w:eastAsia="zh-CN"/>
              </w:rPr>
            </w:pPr>
            <w:r>
              <w:rPr>
                <w:rFonts w:hint="eastAsia" w:ascii="仿宋_GB2312" w:hAnsi="仿宋_GB2312" w:eastAsia="仿宋_GB2312" w:cs="仿宋_GB2312"/>
                <w:b/>
                <w:bCs/>
                <w:kern w:val="0"/>
                <w:sz w:val="26"/>
                <w:szCs w:val="26"/>
                <w:lang w:val="en-US" w:eastAsia="zh-CN" w:bidi="ar-SA"/>
              </w:rPr>
              <w:t>（3）未提供样品或样品提供不齐全或提供的投标样品外观模样、款型、颜色、材质、工艺及使用功能等技术参数与招标文件技术参数不符的，将被视为未实质响应招标文件的技术要求，按无效投标处理</w:t>
            </w:r>
          </w:p>
          <w:p w14:paraId="6BD06FA9">
            <w:pPr>
              <w:keepNext w:val="0"/>
              <w:keepLines w:val="0"/>
              <w:pageBreakBefore w:val="0"/>
              <w:numPr>
                <w:ilvl w:val="0"/>
                <w:numId w:val="0"/>
              </w:numPr>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color w:val="FF0000"/>
                <w:sz w:val="26"/>
                <w:szCs w:val="26"/>
                <w:lang w:val="en-US" w:eastAsia="zh-CN"/>
              </w:rPr>
            </w:pPr>
            <w:r>
              <w:rPr>
                <w:rFonts w:hint="eastAsia" w:ascii="仿宋_GB2312" w:hAnsi="仿宋_GB2312" w:eastAsia="仿宋_GB2312" w:cs="仿宋_GB2312"/>
                <w:b/>
                <w:sz w:val="26"/>
                <w:szCs w:val="26"/>
                <w:lang w:val="en-US" w:eastAsia="zh-CN"/>
              </w:rPr>
              <w:t>四、综合评分法评分要求</w:t>
            </w:r>
            <w:r>
              <w:rPr>
                <w:rFonts w:hint="eastAsia" w:ascii="仿宋_GB2312" w:hAnsi="仿宋_GB2312" w:eastAsia="仿宋_GB2312" w:cs="仿宋_GB2312"/>
                <w:b/>
                <w:color w:val="FF0000"/>
                <w:sz w:val="26"/>
                <w:szCs w:val="26"/>
                <w:lang w:val="en-US" w:eastAsia="zh-CN"/>
              </w:rPr>
              <w:t>（若项目为最低评标价法评标，可删除此部分内容）</w:t>
            </w:r>
          </w:p>
          <w:p w14:paraId="4B224255">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评标委员会将对具有实际性响应的投标人按价格、商务和技术三部份进行评估，以综合评分的方法确定中标供应商，最高分确定为中标候选人，若有相同的最高得分，则其中投标总价最低的投标人将被推荐为成交供应商候选人。</w:t>
            </w:r>
          </w:p>
          <w:p w14:paraId="66768F6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color w:val="auto"/>
                <w:kern w:val="0"/>
                <w:sz w:val="24"/>
                <w:szCs w:val="24"/>
                <w:highlight w:val="none"/>
                <w:lang w:val="en-US" w:eastAsia="zh-CN" w:bidi="ar-SA"/>
              </w:rPr>
              <w:t>2.若出现综合得分又相同的最高得分且报价也相同，则按技术部分得分高低顺序推荐中标候选人。若技术部分依旧相同，</w:t>
            </w:r>
            <w:r>
              <w:rPr>
                <w:rFonts w:hint="eastAsia" w:ascii="宋体" w:hAnsi="宋体" w:eastAsia="宋体" w:cs="宋体"/>
                <w:kern w:val="0"/>
                <w:sz w:val="24"/>
                <w:szCs w:val="24"/>
                <w:lang w:val="en-US" w:eastAsia="zh-CN" w:bidi="ar-SA"/>
              </w:rPr>
              <w:t>评委会将以随机现场抽取的方式确定中标选人。</w:t>
            </w:r>
          </w:p>
          <w:p w14:paraId="0240E88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hint="eastAsia" w:ascii="宋体" w:hAnsi="宋体" w:eastAsia="宋体" w:cs="宋体"/>
                <w:b/>
                <w:bCs/>
                <w:kern w:val="0"/>
                <w:sz w:val="24"/>
                <w:szCs w:val="24"/>
                <w:lang w:val="en-US" w:eastAsia="zh-CN" w:bidi="ar-SA"/>
              </w:rPr>
            </w:pPr>
            <w:r>
              <w:rPr>
                <w:rFonts w:hint="eastAsia" w:ascii="宋体" w:hAnsi="宋体" w:eastAsia="宋体" w:cs="宋体"/>
                <w:kern w:val="0"/>
                <w:sz w:val="24"/>
                <w:szCs w:val="24"/>
                <w:lang w:val="en-US" w:eastAsia="zh-CN" w:bidi="ar-SA"/>
              </w:rPr>
              <w:t>3.</w:t>
            </w:r>
            <w:r>
              <w:rPr>
                <w:rFonts w:hint="eastAsia" w:ascii="宋体" w:hAnsi="宋体" w:eastAsia="宋体" w:cs="宋体"/>
                <w:b/>
                <w:bCs/>
                <w:kern w:val="0"/>
                <w:sz w:val="24"/>
                <w:szCs w:val="24"/>
                <w:lang w:val="en-US" w:eastAsia="zh-CN" w:bidi="ar-SA"/>
              </w:rPr>
              <w:t>本项目推选1名中标候选人。</w:t>
            </w:r>
          </w:p>
          <w:p w14:paraId="7112131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firstLine="480" w:firstLineChars="200"/>
              <w:jc w:val="left"/>
              <w:textAlignment w:val="auto"/>
              <w:rPr>
                <w:rFonts w:ascii="宋体" w:hAnsi="宋体" w:eastAsia="宋体" w:cs="宋体"/>
                <w:kern w:val="0"/>
                <w:sz w:val="24"/>
                <w:szCs w:val="24"/>
                <w:lang w:val="en-US" w:eastAsia="zh-CN" w:bidi="ar-SA"/>
              </w:rPr>
            </w:pPr>
            <w:r>
              <w:rPr>
                <w:rFonts w:hint="eastAsia" w:ascii="宋体" w:hAnsi="宋体" w:eastAsia="宋体" w:cs="宋体"/>
                <w:b w:val="0"/>
                <w:bCs w:val="0"/>
                <w:kern w:val="0"/>
                <w:sz w:val="24"/>
                <w:szCs w:val="24"/>
                <w:lang w:val="en-US" w:eastAsia="zh-CN" w:bidi="ar-SA"/>
              </w:rPr>
              <w:t>4.</w:t>
            </w:r>
            <w:r>
              <w:rPr>
                <w:rFonts w:hint="eastAsia" w:ascii="宋体" w:hAnsi="宋体" w:eastAsia="宋体" w:cs="宋体"/>
                <w:color w:val="auto"/>
                <w:kern w:val="0"/>
                <w:sz w:val="24"/>
                <w:szCs w:val="24"/>
                <w:highlight w:val="none"/>
                <w:lang w:val="en-US" w:eastAsia="zh-CN" w:bidi="ar-SA"/>
              </w:rPr>
              <w:t>综合评分法将按商务部分、技术部分、投标价格部分分别进行评分：</w:t>
            </w:r>
          </w:p>
          <w:p w14:paraId="3FDC7E88">
            <w:pPr>
              <w:tabs>
                <w:tab w:val="left" w:pos="-1080"/>
                <w:tab w:val="left" w:pos="180"/>
                <w:tab w:val="left" w:pos="1080"/>
              </w:tabs>
              <w:snapToGrid w:val="0"/>
              <w:spacing w:line="438" w:lineRule="exact"/>
              <w:ind w:firstLine="480" w:firstLineChars="200"/>
              <w:jc w:val="left"/>
              <w:rPr>
                <w:rFonts w:ascii="宋体" w:hAnsi="宋体" w:eastAsia="宋体" w:cs="Times New Roman"/>
                <w:sz w:val="24"/>
                <w:szCs w:val="20"/>
                <w:shd w:val="clear" w:color="FFFFFF" w:fill="D9D9D9"/>
              </w:rPr>
            </w:pPr>
            <w:r>
              <w:rPr>
                <w:rFonts w:hint="eastAsia" w:ascii="宋体" w:hAnsi="宋体" w:eastAsia="宋体" w:cs="Times New Roman"/>
                <w:sz w:val="24"/>
                <w:szCs w:val="20"/>
                <w:lang w:val="en-US" w:eastAsia="zh-CN"/>
              </w:rPr>
              <w:t>A</w:t>
            </w:r>
            <w:r>
              <w:rPr>
                <w:rFonts w:hint="eastAsia" w:ascii="宋体" w:hAnsi="宋体" w:eastAsia="宋体" w:cs="Times New Roman"/>
                <w:sz w:val="24"/>
                <w:szCs w:val="20"/>
              </w:rPr>
              <w:t xml:space="preserve"> ：技术部分评分           满分</w:t>
            </w:r>
            <w:r>
              <w:rPr>
                <w:rFonts w:hint="eastAsia" w:ascii="宋体" w:hAnsi="宋体" w:eastAsia="宋体" w:cs="Times New Roman"/>
                <w:sz w:val="24"/>
                <w:szCs w:val="20"/>
                <w:shd w:val="clear" w:color="FFFFFF" w:fill="D9D9D9"/>
                <w:lang w:val="en-US" w:eastAsia="zh-CN"/>
              </w:rPr>
              <w:t xml:space="preserve">    </w:t>
            </w:r>
            <w:r>
              <w:rPr>
                <w:rFonts w:hint="eastAsia" w:ascii="宋体" w:hAnsi="宋体" w:eastAsia="宋体" w:cs="Times New Roman"/>
                <w:sz w:val="24"/>
                <w:szCs w:val="20"/>
                <w:shd w:val="clear" w:color="FFFFFF" w:fill="D9D9D9"/>
              </w:rPr>
              <w:t>分</w:t>
            </w:r>
          </w:p>
          <w:p w14:paraId="31BA53C5">
            <w:pPr>
              <w:tabs>
                <w:tab w:val="left" w:pos="-1080"/>
                <w:tab w:val="left" w:pos="180"/>
                <w:tab w:val="left" w:pos="1080"/>
              </w:tabs>
              <w:snapToGrid w:val="0"/>
              <w:spacing w:line="438" w:lineRule="exact"/>
              <w:ind w:firstLine="480" w:firstLineChars="200"/>
              <w:jc w:val="left"/>
              <w:rPr>
                <w:rFonts w:hint="eastAsia" w:ascii="宋体" w:hAnsi="宋体" w:eastAsia="宋体" w:cs="Times New Roman"/>
                <w:sz w:val="24"/>
                <w:szCs w:val="20"/>
              </w:rPr>
            </w:pPr>
            <w:r>
              <w:rPr>
                <w:rFonts w:hint="eastAsia" w:ascii="宋体" w:hAnsi="宋体" w:eastAsia="宋体" w:cs="Times New Roman"/>
                <w:sz w:val="24"/>
                <w:szCs w:val="20"/>
                <w:lang w:val="en-US" w:eastAsia="zh-CN"/>
              </w:rPr>
              <w:t>B</w:t>
            </w:r>
            <w:r>
              <w:rPr>
                <w:rFonts w:hint="eastAsia" w:ascii="宋体" w:hAnsi="宋体" w:eastAsia="宋体" w:cs="Times New Roman"/>
                <w:sz w:val="24"/>
                <w:szCs w:val="20"/>
              </w:rPr>
              <w:t xml:space="preserve"> ：商务部分评分           满分</w:t>
            </w:r>
            <w:r>
              <w:rPr>
                <w:rFonts w:hint="eastAsia" w:ascii="宋体" w:hAnsi="宋体" w:eastAsia="宋体" w:cs="Times New Roman"/>
                <w:sz w:val="24"/>
                <w:szCs w:val="20"/>
                <w:shd w:val="clear" w:color="FFFFFF" w:fill="D9D9D9"/>
                <w:lang w:val="en-US" w:eastAsia="zh-CN"/>
              </w:rPr>
              <w:t xml:space="preserve">    </w:t>
            </w:r>
            <w:r>
              <w:rPr>
                <w:rFonts w:hint="eastAsia" w:ascii="宋体" w:hAnsi="宋体" w:eastAsia="宋体" w:cs="Times New Roman"/>
                <w:sz w:val="24"/>
                <w:szCs w:val="20"/>
                <w:shd w:val="clear" w:color="FFFFFF" w:fill="D9D9D9"/>
              </w:rPr>
              <w:t>分</w:t>
            </w:r>
          </w:p>
          <w:p w14:paraId="57EB1905">
            <w:pPr>
              <w:tabs>
                <w:tab w:val="left" w:pos="-1080"/>
                <w:tab w:val="left" w:pos="180"/>
                <w:tab w:val="left" w:pos="1080"/>
              </w:tabs>
              <w:snapToGrid w:val="0"/>
              <w:spacing w:line="438" w:lineRule="exact"/>
              <w:ind w:firstLine="480" w:firstLineChars="200"/>
              <w:jc w:val="left"/>
              <w:rPr>
                <w:rFonts w:hint="eastAsia" w:ascii="宋体" w:hAnsi="宋体" w:eastAsia="宋体" w:cs="Times New Roman"/>
                <w:sz w:val="24"/>
                <w:szCs w:val="20"/>
              </w:rPr>
            </w:pPr>
            <w:r>
              <w:rPr>
                <w:rFonts w:hint="eastAsia" w:ascii="宋体" w:hAnsi="宋体" w:eastAsia="宋体" w:cs="Times New Roman"/>
                <w:sz w:val="24"/>
                <w:szCs w:val="20"/>
                <w:lang w:val="en-US" w:eastAsia="zh-CN"/>
              </w:rPr>
              <w:t>C</w:t>
            </w:r>
            <w:r>
              <w:rPr>
                <w:rFonts w:hint="eastAsia" w:ascii="宋体" w:hAnsi="宋体" w:eastAsia="宋体" w:cs="Times New Roman"/>
                <w:sz w:val="24"/>
                <w:szCs w:val="20"/>
              </w:rPr>
              <w:t xml:space="preserve"> ：报价部分评分           满分</w:t>
            </w:r>
            <w:r>
              <w:rPr>
                <w:rFonts w:hint="eastAsia" w:ascii="宋体" w:hAnsi="宋体" w:eastAsia="宋体" w:cs="Times New Roman"/>
                <w:sz w:val="24"/>
                <w:szCs w:val="20"/>
                <w:shd w:val="clear" w:color="FFFFFF" w:fill="D9D9D9"/>
                <w:lang w:val="en-US" w:eastAsia="zh-CN"/>
              </w:rPr>
              <w:t xml:space="preserve">    </w:t>
            </w:r>
            <w:r>
              <w:rPr>
                <w:rFonts w:hint="eastAsia" w:ascii="宋体" w:hAnsi="宋体" w:eastAsia="宋体" w:cs="Times New Roman"/>
                <w:sz w:val="24"/>
                <w:szCs w:val="20"/>
                <w:shd w:val="clear" w:color="FFFFFF" w:fill="D9D9D9"/>
              </w:rPr>
              <w:t>分</w:t>
            </w:r>
          </w:p>
          <w:p w14:paraId="1173CBE5">
            <w:pPr>
              <w:spacing w:line="398"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合计总分100分。</w:t>
            </w:r>
          </w:p>
          <w:p w14:paraId="79CC79F1">
            <w:pPr>
              <w:spacing w:line="398"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评标委员会将按比较与评价最优在先原则, 排列评价顺序, 根据在投标人须知前附表中确定的中标候选人数量推荐出中标候选人。</w:t>
            </w:r>
          </w:p>
          <w:p w14:paraId="5B41A059">
            <w:pPr>
              <w:spacing w:line="398" w:lineRule="exact"/>
              <w:rPr>
                <w:rFonts w:hint="eastAsia" w:ascii="宋体" w:hAnsi="宋体" w:eastAsia="宋体" w:cs="Times New Roman"/>
                <w:b/>
                <w:snapToGrid w:val="0"/>
                <w:kern w:val="0"/>
                <w:sz w:val="24"/>
                <w:szCs w:val="24"/>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评标总得分T=A+B+C</w:t>
            </w:r>
            <w:r>
              <w:rPr>
                <w:rFonts w:hint="eastAsia" w:ascii="宋体" w:hAnsi="宋体" w:eastAsia="宋体" w:cs="宋体"/>
                <w:color w:val="auto"/>
                <w:sz w:val="24"/>
                <w:szCs w:val="24"/>
                <w:highlight w:val="none"/>
              </w:rPr>
              <w:t xml:space="preserve">               注：评标总得分保留小数点后2位。 </w:t>
            </w:r>
          </w:p>
          <w:tbl>
            <w:tblPr>
              <w:tblStyle w:val="8"/>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509"/>
              <w:gridCol w:w="6856"/>
              <w:gridCol w:w="764"/>
            </w:tblGrid>
            <w:tr w14:paraId="080EF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5487590C">
                  <w:pPr>
                    <w:spacing w:line="360" w:lineRule="auto"/>
                    <w:rPr>
                      <w:rFonts w:hint="eastAsia" w:ascii="宋体" w:hAnsi="宋体" w:eastAsia="宋体" w:cs="宋体"/>
                      <w:bCs/>
                      <w:sz w:val="24"/>
                      <w:szCs w:val="24"/>
                    </w:rPr>
                  </w:pPr>
                  <w:r>
                    <w:rPr>
                      <w:rFonts w:hint="eastAsia" w:ascii="宋体" w:hAnsi="宋体" w:eastAsia="宋体" w:cs="宋体"/>
                      <w:bCs/>
                      <w:kern w:val="0"/>
                      <w:sz w:val="24"/>
                      <w:szCs w:val="24"/>
                    </w:rPr>
                    <w:t>A：技术部分评分（总分</w:t>
                  </w:r>
                  <w:r>
                    <w:rPr>
                      <w:rFonts w:hint="eastAsia" w:ascii="宋体" w:hAnsi="宋体" w:eastAsia="宋体" w:cs="宋体"/>
                      <w:bCs/>
                      <w:kern w:val="0"/>
                      <w:sz w:val="24"/>
                      <w:szCs w:val="24"/>
                      <w:shd w:val="clear" w:color="FFFFFF" w:fill="D9D9D9"/>
                      <w:lang w:val="en-US" w:eastAsia="zh-CN"/>
                    </w:rPr>
                    <w:t xml:space="preserve">     </w:t>
                  </w:r>
                  <w:r>
                    <w:rPr>
                      <w:rFonts w:hint="eastAsia" w:ascii="宋体" w:hAnsi="宋体" w:eastAsia="宋体" w:cs="宋体"/>
                      <w:bCs/>
                      <w:kern w:val="0"/>
                      <w:sz w:val="24"/>
                      <w:szCs w:val="24"/>
                    </w:rPr>
                    <w:t>分）</w:t>
                  </w:r>
                </w:p>
              </w:tc>
            </w:tr>
            <w:tr w14:paraId="45C6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6598940F">
                  <w:pPr>
                    <w:spacing w:line="360" w:lineRule="auto"/>
                    <w:ind w:firstLine="235" w:firstLineChars="98"/>
                    <w:rPr>
                      <w:rFonts w:hint="eastAsia" w:ascii="宋体" w:hAnsi="宋体" w:eastAsia="宋体" w:cs="宋体"/>
                      <w:bCs/>
                      <w:kern w:val="0"/>
                      <w:sz w:val="24"/>
                      <w:szCs w:val="24"/>
                    </w:rPr>
                  </w:pPr>
                </w:p>
              </w:tc>
            </w:tr>
            <w:tr w14:paraId="688C5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7F670768">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序号</w:t>
                  </w:r>
                </w:p>
              </w:tc>
              <w:tc>
                <w:tcPr>
                  <w:tcW w:w="1509" w:type="dxa"/>
                  <w:noWrap w:val="0"/>
                  <w:vAlign w:val="center"/>
                </w:tcPr>
                <w:p w14:paraId="120DF902">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评分项目</w:t>
                  </w:r>
                </w:p>
              </w:tc>
              <w:tc>
                <w:tcPr>
                  <w:tcW w:w="6856" w:type="dxa"/>
                  <w:noWrap w:val="0"/>
                  <w:vAlign w:val="center"/>
                </w:tcPr>
                <w:p w14:paraId="6859A1AD">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评分标准</w:t>
                  </w:r>
                </w:p>
              </w:tc>
              <w:tc>
                <w:tcPr>
                  <w:tcW w:w="764" w:type="dxa"/>
                  <w:noWrap w:val="0"/>
                  <w:vAlign w:val="center"/>
                </w:tcPr>
                <w:p w14:paraId="557F336F">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分数</w:t>
                  </w:r>
                </w:p>
              </w:tc>
            </w:tr>
            <w:tr w14:paraId="3DB8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79C67AFB">
                  <w:pPr>
                    <w:snapToGrid w:val="0"/>
                    <w:spacing w:line="360" w:lineRule="auto"/>
                    <w:jc w:val="center"/>
                    <w:rPr>
                      <w:rFonts w:hint="eastAsia" w:ascii="宋体" w:hAnsi="宋体" w:eastAsia="宋体" w:cs="宋体"/>
                      <w:bCs/>
                      <w:sz w:val="24"/>
                      <w:szCs w:val="24"/>
                    </w:rPr>
                  </w:pPr>
                  <w:r>
                    <w:rPr>
                      <w:rFonts w:hint="eastAsia" w:ascii="宋体" w:hAnsi="宋体" w:eastAsia="宋体" w:cs="宋体"/>
                      <w:bCs/>
                      <w:snapToGrid w:val="0"/>
                      <w:kern w:val="0"/>
                      <w:sz w:val="24"/>
                      <w:szCs w:val="24"/>
                    </w:rPr>
                    <w:t>A</w:t>
                  </w:r>
                  <w:r>
                    <w:rPr>
                      <w:rFonts w:hint="eastAsia" w:ascii="宋体" w:hAnsi="宋体" w:eastAsia="宋体" w:cs="宋体"/>
                      <w:bCs/>
                      <w:sz w:val="24"/>
                      <w:szCs w:val="24"/>
                    </w:rPr>
                    <w:t>1</w:t>
                  </w:r>
                </w:p>
              </w:tc>
              <w:tc>
                <w:tcPr>
                  <w:tcW w:w="1509" w:type="dxa"/>
                  <w:noWrap w:val="0"/>
                  <w:vAlign w:val="center"/>
                </w:tcPr>
                <w:p w14:paraId="3F5604D0">
                  <w:pPr>
                    <w:snapToGrid w:val="0"/>
                    <w:spacing w:line="360" w:lineRule="auto"/>
                    <w:jc w:val="center"/>
                    <w:rPr>
                      <w:rFonts w:hint="eastAsia" w:ascii="宋体" w:hAnsi="宋体" w:eastAsia="宋体" w:cs="宋体"/>
                      <w:bCs/>
                      <w:sz w:val="24"/>
                      <w:szCs w:val="24"/>
                    </w:rPr>
                  </w:pPr>
                  <w:r>
                    <w:rPr>
                      <w:rFonts w:hint="eastAsia" w:ascii="宋体" w:hAnsi="宋体" w:eastAsia="宋体" w:cs="Times New Roman"/>
                      <w:bCs/>
                      <w:sz w:val="24"/>
                      <w:szCs w:val="20"/>
                    </w:rPr>
                    <w:t>设备性能、技术参数和设备质量情况</w:t>
                  </w:r>
                </w:p>
              </w:tc>
              <w:tc>
                <w:tcPr>
                  <w:tcW w:w="6856" w:type="dxa"/>
                  <w:noWrap w:val="0"/>
                  <w:vAlign w:val="center"/>
                </w:tcPr>
                <w:p w14:paraId="3268EE68">
                  <w:pPr>
                    <w:tabs>
                      <w:tab w:val="left" w:pos="18"/>
                    </w:tabs>
                    <w:spacing w:line="360" w:lineRule="auto"/>
                    <w:rPr>
                      <w:rFonts w:hint="eastAsia" w:ascii="宋体" w:hAnsi="宋体" w:eastAsia="宋体" w:cs="宋体"/>
                      <w:bCs/>
                      <w:sz w:val="24"/>
                      <w:szCs w:val="24"/>
                    </w:rPr>
                  </w:pPr>
                  <w:r>
                    <w:rPr>
                      <w:rFonts w:hint="eastAsia" w:ascii="宋体" w:hAnsi="宋体" w:eastAsia="宋体" w:cs="Times New Roman"/>
                      <w:sz w:val="24"/>
                      <w:szCs w:val="20"/>
                    </w:rPr>
                    <w:t>评标委员会将综合考虑各投标方对所投设备的说明情况，以及对招标文件响应情况等方面。由评委对招标文件中的技术要求进行比较，对所投标设备的参数是否正偏离与负偏离做出评价，技术参数全部符合招标文件要求的得基本分</w:t>
                  </w:r>
                  <w:r>
                    <w:rPr>
                      <w:rFonts w:hint="eastAsia" w:ascii="宋体" w:hAnsi="宋体" w:eastAsia="宋体" w:cs="Times New Roman"/>
                      <w:sz w:val="24"/>
                      <w:szCs w:val="20"/>
                      <w:lang w:val="en-US" w:eastAsia="zh-CN"/>
                    </w:rPr>
                    <w:t xml:space="preserve">   </w:t>
                  </w:r>
                  <w:r>
                    <w:rPr>
                      <w:rFonts w:hint="eastAsia" w:ascii="宋体" w:hAnsi="宋体" w:eastAsia="宋体" w:cs="Times New Roman"/>
                      <w:sz w:val="24"/>
                      <w:szCs w:val="20"/>
                    </w:rPr>
                    <w:t>分，正偏离不加分，</w:t>
                  </w:r>
                  <w:r>
                    <w:rPr>
                      <w:rFonts w:ascii="宋体" w:hAnsi="宋体" w:eastAsia="宋体" w:cs="宋体"/>
                      <w:color w:val="000000"/>
                      <w:kern w:val="0"/>
                      <w:sz w:val="24"/>
                      <w:szCs w:val="20"/>
                    </w:rPr>
                    <w:t>加▲号的参数为重要参数，每负偏离或不响应一项扣</w:t>
                  </w:r>
                  <w:r>
                    <w:rPr>
                      <w:rFonts w:hint="eastAsia" w:ascii="宋体" w:hAnsi="宋体" w:eastAsia="宋体" w:cs="宋体"/>
                      <w:color w:val="000000"/>
                      <w:kern w:val="0"/>
                      <w:sz w:val="24"/>
                      <w:szCs w:val="20"/>
                      <w:lang w:val="en-US" w:eastAsia="zh-CN"/>
                    </w:rPr>
                    <w:t xml:space="preserve">   </w:t>
                  </w:r>
                  <w:r>
                    <w:rPr>
                      <w:rFonts w:ascii="宋体" w:hAnsi="宋体" w:eastAsia="宋体" w:cs="宋体"/>
                      <w:color w:val="000000"/>
                      <w:kern w:val="0"/>
                      <w:sz w:val="24"/>
                      <w:szCs w:val="20"/>
                    </w:rPr>
                    <w:t>分；其余未加▲号的参数每负偏离或不响应一项扣</w:t>
                  </w:r>
                  <w:r>
                    <w:rPr>
                      <w:rFonts w:hint="eastAsia" w:ascii="宋体" w:hAnsi="宋体" w:eastAsia="宋体" w:cs="宋体"/>
                      <w:color w:val="000000"/>
                      <w:kern w:val="0"/>
                      <w:sz w:val="24"/>
                      <w:szCs w:val="20"/>
                      <w:lang w:val="en-US" w:eastAsia="zh-CN"/>
                    </w:rPr>
                    <w:t xml:space="preserve">  </w:t>
                  </w:r>
                  <w:r>
                    <w:rPr>
                      <w:rFonts w:ascii="宋体" w:hAnsi="宋体" w:eastAsia="宋体" w:cs="宋体"/>
                      <w:color w:val="000000"/>
                      <w:kern w:val="0"/>
                      <w:sz w:val="24"/>
                      <w:szCs w:val="20"/>
                    </w:rPr>
                    <w:t>分，扣完为止。</w:t>
                  </w:r>
                </w:p>
              </w:tc>
              <w:tc>
                <w:tcPr>
                  <w:tcW w:w="764" w:type="dxa"/>
                  <w:noWrap w:val="0"/>
                  <w:vAlign w:val="center"/>
                </w:tcPr>
                <w:p w14:paraId="479096C6">
                  <w:pPr>
                    <w:snapToGrid w:val="0"/>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lang w:val="en-US" w:eastAsia="zh-CN"/>
                    </w:rPr>
                    <w:t xml:space="preserve"> </w:t>
                  </w:r>
                </w:p>
              </w:tc>
            </w:tr>
            <w:tr w14:paraId="69804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3A7CBFBA">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A2</w:t>
                  </w:r>
                </w:p>
              </w:tc>
              <w:tc>
                <w:tcPr>
                  <w:tcW w:w="1509" w:type="dxa"/>
                  <w:noWrap w:val="0"/>
                  <w:vAlign w:val="center"/>
                </w:tcPr>
                <w:p w14:paraId="4545AA54">
                  <w:pPr>
                    <w:snapToGrid w:val="0"/>
                    <w:spacing w:line="360" w:lineRule="auto"/>
                    <w:jc w:val="center"/>
                    <w:rPr>
                      <w:rFonts w:hint="eastAsia" w:ascii="宋体" w:hAnsi="宋体" w:eastAsia="宋体" w:cs="宋体"/>
                      <w:bCs/>
                      <w:sz w:val="24"/>
                      <w:szCs w:val="24"/>
                      <w:lang w:val="en-US" w:eastAsia="zh-CN"/>
                    </w:rPr>
                  </w:pPr>
                  <w:r>
                    <w:rPr>
                      <w:rFonts w:hint="eastAsia" w:ascii="宋体" w:hAnsi="宋体" w:eastAsia="宋体" w:cs="宋体"/>
                      <w:bCs/>
                      <w:color w:val="000000"/>
                      <w:sz w:val="24"/>
                      <w:szCs w:val="20"/>
                    </w:rPr>
                    <w:t>相关检测情况</w:t>
                  </w:r>
                  <w:r>
                    <w:rPr>
                      <w:rFonts w:hint="eastAsia" w:ascii="宋体" w:hAnsi="宋体" w:eastAsia="宋体" w:cs="宋体"/>
                      <w:bCs/>
                      <w:color w:val="000000"/>
                      <w:sz w:val="24"/>
                      <w:szCs w:val="20"/>
                      <w:lang w:val="en-US" w:eastAsia="zh-CN"/>
                    </w:rPr>
                    <w:t>1</w:t>
                  </w:r>
                </w:p>
              </w:tc>
              <w:tc>
                <w:tcPr>
                  <w:tcW w:w="6856" w:type="dxa"/>
                  <w:noWrap w:val="0"/>
                  <w:vAlign w:val="center"/>
                </w:tcPr>
                <w:p w14:paraId="58A29D7C">
                  <w:pPr>
                    <w:spacing w:line="360" w:lineRule="auto"/>
                    <w:rPr>
                      <w:rFonts w:hint="eastAsia" w:ascii="宋体" w:hAnsi="宋体" w:eastAsia="宋体" w:cs="宋体"/>
                      <w:bCs/>
                      <w:kern w:val="0"/>
                      <w:sz w:val="24"/>
                      <w:szCs w:val="24"/>
                    </w:rPr>
                  </w:pPr>
                  <w:r>
                    <w:rPr>
                      <w:rFonts w:hint="eastAsia" w:ascii="宋体" w:hAnsi="宋体" w:eastAsia="宋体" w:cs="宋体"/>
                      <w:bCs/>
                      <w:color w:val="000000"/>
                      <w:sz w:val="24"/>
                      <w:szCs w:val="20"/>
                    </w:rPr>
                    <w:t>在投标文件文件中须提供检测报告复印件，</w:t>
                  </w:r>
                  <w:r>
                    <w:rPr>
                      <w:rFonts w:hint="eastAsia" w:ascii="宋体" w:hAnsi="宋体" w:eastAsia="宋体" w:cs="宋体"/>
                      <w:color w:val="000000"/>
                      <w:sz w:val="24"/>
                      <w:szCs w:val="20"/>
                    </w:rPr>
                    <w:t>并提供网络查询截图，提供不符或</w:t>
                  </w:r>
                  <w:r>
                    <w:rPr>
                      <w:rFonts w:hint="eastAsia" w:ascii="宋体" w:hAnsi="宋体" w:eastAsia="宋体" w:cs="宋体"/>
                      <w:bCs/>
                      <w:color w:val="000000"/>
                      <w:sz w:val="24"/>
                      <w:szCs w:val="20"/>
                    </w:rPr>
                    <w:t>不提供不得分</w:t>
                  </w:r>
                  <w:r>
                    <w:rPr>
                      <w:rFonts w:hint="eastAsia" w:ascii="宋体" w:hAnsi="宋体" w:eastAsia="宋体" w:cs="宋体"/>
                      <w:color w:val="000000"/>
                      <w:kern w:val="0"/>
                      <w:sz w:val="24"/>
                      <w:szCs w:val="20"/>
                    </w:rPr>
                    <w:t>。</w:t>
                  </w:r>
                  <w:r>
                    <w:rPr>
                      <w:rFonts w:hint="eastAsia" w:ascii="宋体" w:hAnsi="宋体" w:eastAsia="宋体" w:cs="宋体"/>
                      <w:bCs/>
                      <w:color w:val="000000"/>
                      <w:sz w:val="24"/>
                      <w:szCs w:val="20"/>
                    </w:rPr>
                    <w:t>（满分</w:t>
                  </w:r>
                  <w:r>
                    <w:rPr>
                      <w:rFonts w:hint="eastAsia" w:ascii="宋体" w:hAnsi="宋体" w:eastAsia="宋体" w:cs="宋体"/>
                      <w:bCs/>
                      <w:color w:val="000000"/>
                      <w:sz w:val="24"/>
                      <w:szCs w:val="20"/>
                      <w:lang w:val="en-US" w:eastAsia="zh-CN"/>
                    </w:rPr>
                    <w:t xml:space="preserve">    </w:t>
                  </w:r>
                  <w:r>
                    <w:rPr>
                      <w:rFonts w:hint="eastAsia" w:ascii="宋体" w:hAnsi="宋体" w:eastAsia="宋体" w:cs="宋体"/>
                      <w:bCs/>
                      <w:color w:val="000000"/>
                      <w:sz w:val="24"/>
                      <w:szCs w:val="20"/>
                    </w:rPr>
                    <w:t xml:space="preserve">分）   </w:t>
                  </w:r>
                </w:p>
              </w:tc>
              <w:tc>
                <w:tcPr>
                  <w:tcW w:w="764" w:type="dxa"/>
                  <w:noWrap w:val="0"/>
                  <w:vAlign w:val="center"/>
                </w:tcPr>
                <w:p w14:paraId="30BE8FB8">
                  <w:pPr>
                    <w:snapToGrid w:val="0"/>
                    <w:spacing w:line="360" w:lineRule="auto"/>
                    <w:jc w:val="center"/>
                    <w:rPr>
                      <w:rFonts w:hint="eastAsia" w:ascii="宋体" w:hAnsi="宋体" w:eastAsia="宋体" w:cs="宋体"/>
                      <w:bCs/>
                      <w:sz w:val="24"/>
                      <w:szCs w:val="24"/>
                    </w:rPr>
                  </w:pPr>
                </w:p>
              </w:tc>
            </w:tr>
            <w:tr w14:paraId="1C87B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1350E2D2">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A3</w:t>
                  </w:r>
                </w:p>
              </w:tc>
              <w:tc>
                <w:tcPr>
                  <w:tcW w:w="1509" w:type="dxa"/>
                  <w:noWrap w:val="0"/>
                  <w:vAlign w:val="center"/>
                </w:tcPr>
                <w:p w14:paraId="0DC437B3">
                  <w:pPr>
                    <w:snapToGrid w:val="0"/>
                    <w:spacing w:line="360" w:lineRule="auto"/>
                    <w:jc w:val="both"/>
                    <w:rPr>
                      <w:rFonts w:hint="eastAsia" w:ascii="宋体" w:hAnsi="宋体" w:eastAsia="宋体" w:cs="宋体"/>
                      <w:bCs/>
                      <w:kern w:val="0"/>
                      <w:sz w:val="24"/>
                      <w:szCs w:val="24"/>
                    </w:rPr>
                  </w:pPr>
                  <w:r>
                    <w:rPr>
                      <w:rFonts w:hint="eastAsia" w:ascii="宋体" w:hAnsi="宋体" w:eastAsia="宋体" w:cs="宋体"/>
                      <w:bCs/>
                      <w:kern w:val="0"/>
                      <w:sz w:val="24"/>
                      <w:szCs w:val="24"/>
                    </w:rPr>
                    <w:t>设备责任险情况</w:t>
                  </w:r>
                </w:p>
              </w:tc>
              <w:tc>
                <w:tcPr>
                  <w:tcW w:w="6856" w:type="dxa"/>
                  <w:noWrap w:val="0"/>
                  <w:vAlign w:val="center"/>
                </w:tcPr>
                <w:p w14:paraId="286CD848">
                  <w:pPr>
                    <w:spacing w:line="360" w:lineRule="auto"/>
                    <w:rPr>
                      <w:rFonts w:hint="eastAsia" w:ascii="宋体" w:hAnsi="宋体" w:eastAsia="宋体" w:cs="宋体"/>
                      <w:bCs/>
                      <w:kern w:val="0"/>
                      <w:sz w:val="24"/>
                      <w:szCs w:val="24"/>
                    </w:rPr>
                  </w:pPr>
                  <w:r>
                    <w:rPr>
                      <w:rFonts w:hint="eastAsia" w:ascii="宋体" w:hAnsi="宋体" w:eastAsia="宋体" w:cs="Times New Roman"/>
                      <w:color w:val="000000"/>
                      <w:sz w:val="24"/>
                      <w:szCs w:val="20"/>
                    </w:rPr>
                    <w:t>所投</w:t>
                  </w:r>
                  <w:r>
                    <w:rPr>
                      <w:rFonts w:hint="eastAsia" w:ascii="宋体" w:hAnsi="宋体" w:eastAsia="宋体" w:cs="Times New Roman"/>
                      <w:color w:val="000000"/>
                      <w:sz w:val="24"/>
                      <w:szCs w:val="20"/>
                      <w:lang w:val="en-US" w:eastAsia="zh-CN"/>
                    </w:rPr>
                    <w:t>XX产品</w:t>
                  </w:r>
                  <w:r>
                    <w:rPr>
                      <w:rFonts w:hint="eastAsia" w:ascii="宋体" w:hAnsi="宋体" w:eastAsia="宋体" w:cs="Times New Roman"/>
                      <w:color w:val="000000"/>
                      <w:sz w:val="24"/>
                      <w:szCs w:val="20"/>
                    </w:rPr>
                    <w:t>具有保险公司提供的产品责任险保单</w:t>
                  </w:r>
                </w:p>
              </w:tc>
              <w:tc>
                <w:tcPr>
                  <w:tcW w:w="764" w:type="dxa"/>
                  <w:noWrap w:val="0"/>
                  <w:vAlign w:val="center"/>
                </w:tcPr>
                <w:p w14:paraId="6187AE02">
                  <w:pPr>
                    <w:snapToGrid w:val="0"/>
                    <w:spacing w:line="360" w:lineRule="auto"/>
                    <w:jc w:val="center"/>
                    <w:rPr>
                      <w:rFonts w:hint="eastAsia" w:ascii="宋体" w:hAnsi="宋体" w:eastAsia="宋体" w:cs="宋体"/>
                      <w:bCs/>
                      <w:sz w:val="24"/>
                      <w:szCs w:val="24"/>
                    </w:rPr>
                  </w:pPr>
                </w:p>
              </w:tc>
            </w:tr>
            <w:tr w14:paraId="12061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0656B0F4">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A4</w:t>
                  </w:r>
                </w:p>
              </w:tc>
              <w:tc>
                <w:tcPr>
                  <w:tcW w:w="1509" w:type="dxa"/>
                  <w:noWrap w:val="0"/>
                  <w:vAlign w:val="center"/>
                </w:tcPr>
                <w:p w14:paraId="07502CBA">
                  <w:pPr>
                    <w:spacing w:line="360" w:lineRule="auto"/>
                    <w:rPr>
                      <w:rFonts w:hint="eastAsia" w:ascii="宋体" w:hAnsi="宋体" w:eastAsia="宋体" w:cs="宋体"/>
                      <w:bCs/>
                      <w:kern w:val="0"/>
                      <w:sz w:val="24"/>
                      <w:szCs w:val="24"/>
                    </w:rPr>
                  </w:pPr>
                </w:p>
              </w:tc>
              <w:tc>
                <w:tcPr>
                  <w:tcW w:w="6856" w:type="dxa"/>
                  <w:noWrap w:val="0"/>
                  <w:vAlign w:val="center"/>
                </w:tcPr>
                <w:p w14:paraId="79CDB598">
                  <w:pPr>
                    <w:spacing w:line="360" w:lineRule="auto"/>
                    <w:rPr>
                      <w:rFonts w:hint="eastAsia" w:ascii="Times New Roman" w:hAnsi="宋体" w:eastAsia="宋体" w:cs="宋体"/>
                      <w:color w:val="000000"/>
                      <w:sz w:val="24"/>
                      <w:szCs w:val="20"/>
                    </w:rPr>
                  </w:pPr>
                </w:p>
              </w:tc>
              <w:tc>
                <w:tcPr>
                  <w:tcW w:w="764" w:type="dxa"/>
                  <w:noWrap w:val="0"/>
                  <w:vAlign w:val="center"/>
                </w:tcPr>
                <w:p w14:paraId="3A5E92BA">
                  <w:pPr>
                    <w:snapToGrid w:val="0"/>
                    <w:spacing w:line="360" w:lineRule="auto"/>
                    <w:jc w:val="center"/>
                    <w:rPr>
                      <w:rFonts w:hint="eastAsia" w:ascii="宋体" w:hAnsi="宋体" w:eastAsia="宋体" w:cs="宋体"/>
                      <w:bCs/>
                      <w:sz w:val="24"/>
                      <w:szCs w:val="24"/>
                    </w:rPr>
                  </w:pPr>
                </w:p>
              </w:tc>
            </w:tr>
            <w:tr w14:paraId="2F313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1E6F28B9">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A5</w:t>
                  </w:r>
                </w:p>
              </w:tc>
              <w:tc>
                <w:tcPr>
                  <w:tcW w:w="1509" w:type="dxa"/>
                  <w:noWrap w:val="0"/>
                  <w:vAlign w:val="center"/>
                </w:tcPr>
                <w:p w14:paraId="47B3305F">
                  <w:pPr>
                    <w:snapToGrid w:val="0"/>
                    <w:spacing w:line="360" w:lineRule="auto"/>
                    <w:jc w:val="both"/>
                    <w:rPr>
                      <w:rFonts w:hint="eastAsia" w:ascii="宋体" w:hAnsi="宋体" w:eastAsia="宋体" w:cs="宋体"/>
                      <w:bCs/>
                      <w:kern w:val="0"/>
                      <w:sz w:val="24"/>
                      <w:szCs w:val="24"/>
                    </w:rPr>
                  </w:pPr>
                </w:p>
              </w:tc>
              <w:tc>
                <w:tcPr>
                  <w:tcW w:w="6856" w:type="dxa"/>
                  <w:noWrap w:val="0"/>
                  <w:vAlign w:val="center"/>
                </w:tcPr>
                <w:p w14:paraId="09167EC1">
                  <w:pPr>
                    <w:spacing w:line="360" w:lineRule="auto"/>
                    <w:rPr>
                      <w:rFonts w:hint="eastAsia" w:ascii="宋体" w:hAnsi="宋体" w:eastAsia="宋体" w:cs="Times New Roman"/>
                      <w:color w:val="000000"/>
                      <w:sz w:val="24"/>
                      <w:szCs w:val="20"/>
                    </w:rPr>
                  </w:pPr>
                </w:p>
              </w:tc>
              <w:tc>
                <w:tcPr>
                  <w:tcW w:w="764" w:type="dxa"/>
                  <w:noWrap w:val="0"/>
                  <w:vAlign w:val="center"/>
                </w:tcPr>
                <w:p w14:paraId="03834478">
                  <w:pPr>
                    <w:snapToGrid w:val="0"/>
                    <w:spacing w:line="360" w:lineRule="auto"/>
                    <w:jc w:val="center"/>
                    <w:rPr>
                      <w:rFonts w:hint="eastAsia" w:ascii="宋体" w:hAnsi="宋体" w:eastAsia="宋体" w:cs="宋体"/>
                      <w:bCs/>
                      <w:sz w:val="24"/>
                      <w:szCs w:val="24"/>
                    </w:rPr>
                  </w:pPr>
                </w:p>
              </w:tc>
            </w:tr>
            <w:tr w14:paraId="59BB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03C650B2">
                  <w:pPr>
                    <w:snapToGrid w:val="0"/>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A</w:t>
                  </w:r>
                  <w:r>
                    <w:rPr>
                      <w:rFonts w:hint="eastAsia" w:ascii="宋体" w:hAnsi="宋体" w:eastAsia="宋体" w:cs="宋体"/>
                      <w:bCs/>
                      <w:sz w:val="24"/>
                      <w:szCs w:val="24"/>
                      <w:lang w:val="en-US" w:eastAsia="zh-CN"/>
                    </w:rPr>
                    <w:t>6</w:t>
                  </w:r>
                </w:p>
              </w:tc>
              <w:tc>
                <w:tcPr>
                  <w:tcW w:w="1509" w:type="dxa"/>
                  <w:noWrap w:val="0"/>
                  <w:vAlign w:val="center"/>
                </w:tcPr>
                <w:p w14:paraId="40C0C607">
                  <w:pPr>
                    <w:spacing w:line="360" w:lineRule="auto"/>
                    <w:rPr>
                      <w:rFonts w:hint="eastAsia" w:ascii="宋体" w:hAnsi="宋体" w:eastAsia="宋体" w:cs="宋体"/>
                      <w:bCs/>
                      <w:sz w:val="24"/>
                      <w:szCs w:val="24"/>
                    </w:rPr>
                  </w:pPr>
                </w:p>
              </w:tc>
              <w:tc>
                <w:tcPr>
                  <w:tcW w:w="6856" w:type="dxa"/>
                  <w:noWrap w:val="0"/>
                  <w:vAlign w:val="center"/>
                </w:tcPr>
                <w:p w14:paraId="16A9044A">
                  <w:pPr>
                    <w:spacing w:line="360" w:lineRule="auto"/>
                    <w:rPr>
                      <w:rFonts w:hint="eastAsia" w:ascii="宋体" w:hAnsi="宋体" w:eastAsia="宋体" w:cs="宋体"/>
                      <w:bCs/>
                      <w:sz w:val="24"/>
                      <w:szCs w:val="24"/>
                    </w:rPr>
                  </w:pPr>
                </w:p>
              </w:tc>
              <w:tc>
                <w:tcPr>
                  <w:tcW w:w="764" w:type="dxa"/>
                  <w:noWrap w:val="0"/>
                  <w:vAlign w:val="center"/>
                </w:tcPr>
                <w:p w14:paraId="4F7FE14C">
                  <w:pPr>
                    <w:snapToGrid w:val="0"/>
                    <w:spacing w:line="360" w:lineRule="auto"/>
                    <w:jc w:val="center"/>
                    <w:rPr>
                      <w:rFonts w:hint="eastAsia" w:ascii="宋体" w:hAnsi="宋体" w:eastAsia="宋体" w:cs="宋体"/>
                      <w:bCs/>
                      <w:sz w:val="24"/>
                      <w:szCs w:val="24"/>
                    </w:rPr>
                  </w:pPr>
                </w:p>
              </w:tc>
            </w:tr>
            <w:tr w14:paraId="522BA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645B67E3">
                  <w:pPr>
                    <w:widowControl/>
                    <w:spacing w:line="360" w:lineRule="auto"/>
                    <w:rPr>
                      <w:rFonts w:hint="eastAsia" w:ascii="宋体" w:hAnsi="宋体" w:eastAsia="宋体" w:cs="宋体"/>
                      <w:bCs/>
                      <w:kern w:val="0"/>
                      <w:sz w:val="24"/>
                      <w:szCs w:val="24"/>
                    </w:rPr>
                  </w:pPr>
                  <w:r>
                    <w:rPr>
                      <w:rFonts w:hint="eastAsia" w:ascii="宋体" w:hAnsi="宋体" w:eastAsia="宋体" w:cs="宋体"/>
                      <w:bCs/>
                      <w:kern w:val="0"/>
                      <w:sz w:val="24"/>
                      <w:szCs w:val="24"/>
                    </w:rPr>
                    <w:t>B：商务部分评分</w:t>
                  </w:r>
                  <w:r>
                    <w:rPr>
                      <w:rFonts w:hint="eastAsia" w:ascii="宋体" w:hAnsi="宋体" w:eastAsia="宋体" w:cs="宋体"/>
                      <w:bCs/>
                      <w:sz w:val="24"/>
                      <w:szCs w:val="24"/>
                    </w:rPr>
                    <w:t>（总分</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分）</w:t>
                  </w:r>
                </w:p>
              </w:tc>
            </w:tr>
            <w:tr w14:paraId="4FD9E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34370EF4">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序号</w:t>
                  </w:r>
                </w:p>
              </w:tc>
              <w:tc>
                <w:tcPr>
                  <w:tcW w:w="1509" w:type="dxa"/>
                  <w:noWrap w:val="0"/>
                  <w:vAlign w:val="center"/>
                </w:tcPr>
                <w:p w14:paraId="2D8B67FA">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评分项目</w:t>
                  </w:r>
                </w:p>
              </w:tc>
              <w:tc>
                <w:tcPr>
                  <w:tcW w:w="6856" w:type="dxa"/>
                  <w:noWrap w:val="0"/>
                  <w:vAlign w:val="center"/>
                </w:tcPr>
                <w:p w14:paraId="4CB51FBB">
                  <w:pPr>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评分标准</w:t>
                  </w:r>
                </w:p>
              </w:tc>
              <w:tc>
                <w:tcPr>
                  <w:tcW w:w="764" w:type="dxa"/>
                  <w:noWrap w:val="0"/>
                  <w:vAlign w:val="center"/>
                </w:tcPr>
                <w:p w14:paraId="60F56728">
                  <w:pPr>
                    <w:widowControl/>
                    <w:spacing w:line="360" w:lineRule="auto"/>
                    <w:jc w:val="center"/>
                    <w:rPr>
                      <w:rFonts w:hint="eastAsia" w:ascii="宋体" w:hAnsi="宋体" w:eastAsia="宋体" w:cs="宋体"/>
                      <w:bCs/>
                      <w:kern w:val="0"/>
                      <w:sz w:val="24"/>
                      <w:szCs w:val="24"/>
                    </w:rPr>
                  </w:pPr>
                  <w:r>
                    <w:rPr>
                      <w:rFonts w:hint="eastAsia" w:ascii="宋体" w:hAnsi="宋体" w:eastAsia="宋体" w:cs="宋体"/>
                      <w:bCs/>
                      <w:kern w:val="0"/>
                      <w:sz w:val="24"/>
                      <w:szCs w:val="24"/>
                    </w:rPr>
                    <w:t>分数</w:t>
                  </w:r>
                </w:p>
              </w:tc>
            </w:tr>
            <w:tr w14:paraId="0F5E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58F7AF6E">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B1</w:t>
                  </w:r>
                </w:p>
              </w:tc>
              <w:tc>
                <w:tcPr>
                  <w:tcW w:w="1509" w:type="dxa"/>
                  <w:noWrap w:val="0"/>
                  <w:vAlign w:val="center"/>
                </w:tcPr>
                <w:p w14:paraId="1BB00576">
                  <w:pPr>
                    <w:adjustRightInd w:val="0"/>
                    <w:snapToGrid w:val="0"/>
                    <w:spacing w:line="360" w:lineRule="auto"/>
                    <w:rPr>
                      <w:rFonts w:hint="eastAsia" w:ascii="宋体" w:hAnsi="宋体" w:eastAsia="宋体" w:cs="宋体"/>
                      <w:kern w:val="0"/>
                      <w:sz w:val="24"/>
                      <w:szCs w:val="20"/>
                    </w:rPr>
                  </w:pPr>
                </w:p>
              </w:tc>
              <w:tc>
                <w:tcPr>
                  <w:tcW w:w="6856" w:type="dxa"/>
                  <w:noWrap w:val="0"/>
                  <w:vAlign w:val="center"/>
                </w:tcPr>
                <w:p w14:paraId="16293B92">
                  <w:pPr>
                    <w:adjustRightInd w:val="0"/>
                    <w:snapToGrid w:val="0"/>
                    <w:spacing w:line="360" w:lineRule="auto"/>
                    <w:rPr>
                      <w:rFonts w:hint="eastAsia" w:ascii="宋体" w:hAnsi="宋体" w:eastAsia="宋体" w:cs="宋体"/>
                      <w:kern w:val="0"/>
                      <w:sz w:val="24"/>
                      <w:szCs w:val="20"/>
                    </w:rPr>
                  </w:pPr>
                </w:p>
              </w:tc>
              <w:tc>
                <w:tcPr>
                  <w:tcW w:w="764" w:type="dxa"/>
                  <w:noWrap w:val="0"/>
                  <w:vAlign w:val="center"/>
                </w:tcPr>
                <w:p w14:paraId="2BD61573">
                  <w:pPr>
                    <w:widowControl/>
                    <w:spacing w:line="360" w:lineRule="auto"/>
                    <w:jc w:val="center"/>
                    <w:rPr>
                      <w:rFonts w:hint="eastAsia" w:ascii="宋体" w:hAnsi="宋体" w:eastAsia="宋体" w:cs="宋体"/>
                      <w:bCs/>
                      <w:kern w:val="0"/>
                      <w:sz w:val="24"/>
                      <w:szCs w:val="24"/>
                    </w:rPr>
                  </w:pPr>
                </w:p>
              </w:tc>
            </w:tr>
            <w:tr w14:paraId="0D247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59EB27BC">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B2</w:t>
                  </w:r>
                </w:p>
              </w:tc>
              <w:tc>
                <w:tcPr>
                  <w:tcW w:w="1509" w:type="dxa"/>
                  <w:noWrap w:val="0"/>
                  <w:vAlign w:val="center"/>
                </w:tcPr>
                <w:p w14:paraId="7F3327C8">
                  <w:pPr>
                    <w:adjustRightInd w:val="0"/>
                    <w:snapToGrid w:val="0"/>
                    <w:spacing w:line="360" w:lineRule="auto"/>
                    <w:rPr>
                      <w:rFonts w:hint="eastAsia" w:ascii="宋体" w:hAnsi="宋体" w:eastAsia="宋体" w:cs="宋体"/>
                      <w:kern w:val="0"/>
                      <w:sz w:val="24"/>
                      <w:szCs w:val="20"/>
                    </w:rPr>
                  </w:pPr>
                </w:p>
              </w:tc>
              <w:tc>
                <w:tcPr>
                  <w:tcW w:w="6856" w:type="dxa"/>
                  <w:noWrap w:val="0"/>
                  <w:vAlign w:val="center"/>
                </w:tcPr>
                <w:p w14:paraId="4A83C50F">
                  <w:pPr>
                    <w:adjustRightInd w:val="0"/>
                    <w:snapToGrid w:val="0"/>
                    <w:rPr>
                      <w:rFonts w:hint="eastAsia" w:ascii="宋体" w:hAnsi="宋体" w:eastAsia="宋体" w:cs="宋体"/>
                      <w:kern w:val="0"/>
                      <w:sz w:val="24"/>
                      <w:szCs w:val="20"/>
                    </w:rPr>
                  </w:pPr>
                </w:p>
              </w:tc>
              <w:tc>
                <w:tcPr>
                  <w:tcW w:w="764" w:type="dxa"/>
                  <w:noWrap w:val="0"/>
                  <w:vAlign w:val="center"/>
                </w:tcPr>
                <w:p w14:paraId="128B8EAE">
                  <w:pPr>
                    <w:widowControl/>
                    <w:spacing w:line="360" w:lineRule="auto"/>
                    <w:jc w:val="center"/>
                    <w:rPr>
                      <w:rFonts w:hint="eastAsia" w:ascii="宋体" w:hAnsi="宋体" w:eastAsia="宋体" w:cs="宋体"/>
                      <w:bCs/>
                      <w:kern w:val="0"/>
                      <w:sz w:val="24"/>
                      <w:szCs w:val="24"/>
                    </w:rPr>
                  </w:pPr>
                </w:p>
              </w:tc>
            </w:tr>
            <w:tr w14:paraId="4A9B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5CA757BD">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B3</w:t>
                  </w:r>
                </w:p>
              </w:tc>
              <w:tc>
                <w:tcPr>
                  <w:tcW w:w="1509" w:type="dxa"/>
                  <w:noWrap w:val="0"/>
                  <w:vAlign w:val="center"/>
                </w:tcPr>
                <w:p w14:paraId="26E0EC59">
                  <w:pPr>
                    <w:widowControl/>
                    <w:spacing w:line="360" w:lineRule="auto"/>
                    <w:jc w:val="both"/>
                    <w:rPr>
                      <w:rFonts w:hint="eastAsia" w:ascii="宋体" w:hAnsi="宋体" w:eastAsia="宋体" w:cs="宋体"/>
                      <w:bCs/>
                      <w:sz w:val="24"/>
                      <w:szCs w:val="24"/>
                    </w:rPr>
                  </w:pPr>
                </w:p>
              </w:tc>
              <w:tc>
                <w:tcPr>
                  <w:tcW w:w="6856" w:type="dxa"/>
                  <w:noWrap w:val="0"/>
                  <w:vAlign w:val="center"/>
                </w:tcPr>
                <w:p w14:paraId="06CAA73F">
                  <w:pPr>
                    <w:adjustRightInd w:val="0"/>
                    <w:snapToGrid w:val="0"/>
                    <w:spacing w:line="360" w:lineRule="auto"/>
                    <w:rPr>
                      <w:rFonts w:hint="eastAsia" w:ascii="宋体" w:hAnsi="宋体" w:eastAsia="宋体" w:cs="宋体"/>
                      <w:bCs/>
                      <w:kern w:val="0"/>
                      <w:sz w:val="24"/>
                      <w:szCs w:val="24"/>
                    </w:rPr>
                  </w:pPr>
                </w:p>
              </w:tc>
              <w:tc>
                <w:tcPr>
                  <w:tcW w:w="764" w:type="dxa"/>
                  <w:noWrap w:val="0"/>
                  <w:vAlign w:val="center"/>
                </w:tcPr>
                <w:p w14:paraId="1C42348B">
                  <w:pPr>
                    <w:snapToGrid w:val="0"/>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3</w:t>
                  </w:r>
                </w:p>
              </w:tc>
            </w:tr>
            <w:tr w14:paraId="2D7B2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0110370A">
                  <w:pPr>
                    <w:widowControl/>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B</w:t>
                  </w:r>
                  <w:r>
                    <w:rPr>
                      <w:rFonts w:hint="eastAsia" w:ascii="宋体" w:hAnsi="宋体" w:eastAsia="宋体" w:cs="宋体"/>
                      <w:bCs/>
                      <w:sz w:val="24"/>
                      <w:szCs w:val="24"/>
                      <w:lang w:val="en-US" w:eastAsia="zh-CN"/>
                    </w:rPr>
                    <w:t>4</w:t>
                  </w:r>
                </w:p>
              </w:tc>
              <w:tc>
                <w:tcPr>
                  <w:tcW w:w="1509" w:type="dxa"/>
                  <w:noWrap w:val="0"/>
                  <w:vAlign w:val="center"/>
                </w:tcPr>
                <w:p w14:paraId="58F9F741">
                  <w:pPr>
                    <w:adjustRightInd w:val="0"/>
                    <w:snapToGrid w:val="0"/>
                    <w:spacing w:line="360" w:lineRule="auto"/>
                    <w:rPr>
                      <w:rFonts w:hint="eastAsia" w:ascii="宋体" w:hAnsi="宋体" w:eastAsia="宋体" w:cs="宋体"/>
                      <w:kern w:val="0"/>
                      <w:sz w:val="24"/>
                      <w:szCs w:val="20"/>
                    </w:rPr>
                  </w:pPr>
                  <w:r>
                    <w:rPr>
                      <w:rFonts w:hint="eastAsia" w:ascii="宋体" w:hAnsi="宋体" w:eastAsia="宋体" w:cs="宋体"/>
                      <w:kern w:val="0"/>
                      <w:sz w:val="24"/>
                      <w:szCs w:val="20"/>
                    </w:rPr>
                    <w:t>经营业绩</w:t>
                  </w:r>
                </w:p>
              </w:tc>
              <w:tc>
                <w:tcPr>
                  <w:tcW w:w="6856" w:type="dxa"/>
                  <w:noWrap w:val="0"/>
                  <w:vAlign w:val="center"/>
                </w:tcPr>
                <w:p w14:paraId="288A5917">
                  <w:pPr>
                    <w:spacing w:line="360" w:lineRule="auto"/>
                    <w:rPr>
                      <w:rFonts w:hint="eastAsia" w:ascii="宋体" w:hAnsi="宋体" w:eastAsia="宋体" w:cs="宋体"/>
                      <w:bCs/>
                      <w:kern w:val="0"/>
                      <w:sz w:val="24"/>
                      <w:szCs w:val="24"/>
                    </w:rPr>
                  </w:pPr>
                </w:p>
              </w:tc>
              <w:tc>
                <w:tcPr>
                  <w:tcW w:w="764" w:type="dxa"/>
                  <w:noWrap w:val="0"/>
                  <w:vAlign w:val="center"/>
                </w:tcPr>
                <w:p w14:paraId="1A76F5AE">
                  <w:pPr>
                    <w:widowControl/>
                    <w:spacing w:line="360" w:lineRule="auto"/>
                    <w:jc w:val="center"/>
                    <w:rPr>
                      <w:rFonts w:hint="eastAsia" w:ascii="宋体" w:hAnsi="宋体" w:eastAsia="宋体" w:cs="宋体"/>
                      <w:bCs/>
                      <w:sz w:val="24"/>
                      <w:szCs w:val="24"/>
                    </w:rPr>
                  </w:pPr>
                </w:p>
              </w:tc>
            </w:tr>
            <w:tr w14:paraId="49F63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225B76C6">
                  <w:pPr>
                    <w:widowControl/>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B</w:t>
                  </w:r>
                  <w:r>
                    <w:rPr>
                      <w:rFonts w:hint="eastAsia" w:ascii="宋体" w:hAnsi="宋体" w:eastAsia="宋体" w:cs="宋体"/>
                      <w:bCs/>
                      <w:sz w:val="24"/>
                      <w:szCs w:val="24"/>
                      <w:lang w:val="en-US" w:eastAsia="zh-CN"/>
                    </w:rPr>
                    <w:t>5</w:t>
                  </w:r>
                </w:p>
              </w:tc>
              <w:tc>
                <w:tcPr>
                  <w:tcW w:w="1509" w:type="dxa"/>
                  <w:noWrap w:val="0"/>
                  <w:vAlign w:val="center"/>
                </w:tcPr>
                <w:p w14:paraId="011461C7">
                  <w:pPr>
                    <w:adjustRightInd w:val="0"/>
                    <w:snapToGrid w:val="0"/>
                    <w:spacing w:line="360" w:lineRule="auto"/>
                    <w:rPr>
                      <w:rFonts w:hint="eastAsia" w:ascii="宋体" w:hAnsi="宋体" w:eastAsia="宋体" w:cs="宋体"/>
                      <w:kern w:val="0"/>
                      <w:sz w:val="24"/>
                      <w:szCs w:val="20"/>
                    </w:rPr>
                  </w:pPr>
                  <w:r>
                    <w:rPr>
                      <w:rFonts w:hint="eastAsia" w:ascii="宋体" w:hAnsi="宋体" w:eastAsia="宋体" w:cs="宋体"/>
                      <w:kern w:val="0"/>
                      <w:sz w:val="24"/>
                      <w:szCs w:val="20"/>
                    </w:rPr>
                    <w:t>售后保障</w:t>
                  </w:r>
                </w:p>
              </w:tc>
              <w:tc>
                <w:tcPr>
                  <w:tcW w:w="6856" w:type="dxa"/>
                  <w:noWrap w:val="0"/>
                  <w:vAlign w:val="center"/>
                </w:tcPr>
                <w:p w14:paraId="73939E6E">
                  <w:pPr>
                    <w:tabs>
                      <w:tab w:val="left" w:pos="432"/>
                    </w:tabs>
                    <w:spacing w:line="360" w:lineRule="auto"/>
                    <w:rPr>
                      <w:rFonts w:hint="eastAsia" w:ascii="宋体" w:hAnsi="宋体" w:eastAsia="宋体" w:cs="宋体"/>
                      <w:bCs/>
                      <w:kern w:val="0"/>
                      <w:sz w:val="24"/>
                      <w:szCs w:val="24"/>
                    </w:rPr>
                  </w:pPr>
                </w:p>
              </w:tc>
              <w:tc>
                <w:tcPr>
                  <w:tcW w:w="764" w:type="dxa"/>
                  <w:noWrap w:val="0"/>
                  <w:vAlign w:val="center"/>
                </w:tcPr>
                <w:p w14:paraId="47E8ADDE">
                  <w:pPr>
                    <w:widowControl/>
                    <w:spacing w:line="360" w:lineRule="auto"/>
                    <w:jc w:val="center"/>
                    <w:rPr>
                      <w:rFonts w:hint="eastAsia" w:ascii="宋体" w:hAnsi="宋体" w:eastAsia="宋体" w:cs="宋体"/>
                      <w:bCs/>
                      <w:sz w:val="24"/>
                      <w:szCs w:val="24"/>
                    </w:rPr>
                  </w:pPr>
                </w:p>
              </w:tc>
            </w:tr>
            <w:tr w14:paraId="0A2F6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noWrap w:val="0"/>
                  <w:vAlign w:val="center"/>
                </w:tcPr>
                <w:p w14:paraId="6FEC5587">
                  <w:pPr>
                    <w:widowControl/>
                    <w:spacing w:line="360" w:lineRule="auto"/>
                    <w:jc w:val="center"/>
                    <w:rPr>
                      <w:rFonts w:hint="eastAsia" w:ascii="宋体" w:hAnsi="宋体" w:eastAsia="宋体" w:cs="宋体"/>
                      <w:bCs/>
                      <w:sz w:val="24"/>
                      <w:szCs w:val="24"/>
                      <w:lang w:eastAsia="zh-CN"/>
                    </w:rPr>
                  </w:pPr>
                  <w:r>
                    <w:rPr>
                      <w:rFonts w:hint="eastAsia" w:ascii="宋体" w:hAnsi="宋体" w:eastAsia="宋体" w:cs="宋体"/>
                      <w:bCs/>
                      <w:sz w:val="24"/>
                      <w:szCs w:val="24"/>
                    </w:rPr>
                    <w:t>B</w:t>
                  </w:r>
                  <w:r>
                    <w:rPr>
                      <w:rFonts w:hint="eastAsia" w:ascii="宋体" w:hAnsi="宋体" w:eastAsia="宋体" w:cs="宋体"/>
                      <w:bCs/>
                      <w:sz w:val="24"/>
                      <w:szCs w:val="24"/>
                      <w:lang w:val="en-US" w:eastAsia="zh-CN"/>
                    </w:rPr>
                    <w:t>6</w:t>
                  </w:r>
                </w:p>
              </w:tc>
              <w:tc>
                <w:tcPr>
                  <w:tcW w:w="1509" w:type="dxa"/>
                  <w:noWrap w:val="0"/>
                  <w:vAlign w:val="center"/>
                </w:tcPr>
                <w:p w14:paraId="6B1450A2">
                  <w:pPr>
                    <w:tabs>
                      <w:tab w:val="left" w:pos="432"/>
                    </w:tabs>
                    <w:spacing w:line="360" w:lineRule="auto"/>
                    <w:rPr>
                      <w:rFonts w:hint="eastAsia" w:ascii="宋体" w:hAnsi="宋体" w:eastAsia="宋体" w:cs="宋体"/>
                      <w:bCs/>
                      <w:sz w:val="24"/>
                      <w:szCs w:val="24"/>
                    </w:rPr>
                  </w:pPr>
                  <w:r>
                    <w:rPr>
                      <w:rFonts w:hint="eastAsia" w:ascii="宋体" w:hAnsi="宋体" w:eastAsia="宋体" w:cs="Times New Roman"/>
                      <w:sz w:val="24"/>
                      <w:szCs w:val="20"/>
                    </w:rPr>
                    <w:t>质保承诺</w:t>
                  </w:r>
                </w:p>
              </w:tc>
              <w:tc>
                <w:tcPr>
                  <w:tcW w:w="6856" w:type="dxa"/>
                  <w:noWrap w:val="0"/>
                  <w:vAlign w:val="center"/>
                </w:tcPr>
                <w:p w14:paraId="6AA1B458">
                  <w:pPr>
                    <w:tabs>
                      <w:tab w:val="left" w:pos="432"/>
                    </w:tabs>
                    <w:spacing w:line="360" w:lineRule="auto"/>
                    <w:rPr>
                      <w:rFonts w:hint="eastAsia" w:ascii="宋体" w:hAnsi="宋体" w:eastAsia="宋体" w:cs="宋体"/>
                      <w:bCs/>
                      <w:kern w:val="0"/>
                      <w:sz w:val="24"/>
                      <w:szCs w:val="24"/>
                    </w:rPr>
                  </w:pPr>
                  <w:r>
                    <w:rPr>
                      <w:rFonts w:hint="eastAsia" w:ascii="宋体" w:hAnsi="宋体" w:eastAsia="宋体" w:cs="Times New Roman"/>
                      <w:sz w:val="24"/>
                      <w:szCs w:val="20"/>
                    </w:rPr>
                    <w:t>售后质保期承诺为4年的，得1.5分，5年的得3分</w:t>
                  </w:r>
                </w:p>
              </w:tc>
              <w:tc>
                <w:tcPr>
                  <w:tcW w:w="764" w:type="dxa"/>
                  <w:noWrap w:val="0"/>
                  <w:vAlign w:val="center"/>
                </w:tcPr>
                <w:p w14:paraId="11060969">
                  <w:pPr>
                    <w:widowControl/>
                    <w:spacing w:line="360" w:lineRule="auto"/>
                    <w:jc w:val="center"/>
                    <w:rPr>
                      <w:rFonts w:hint="eastAsia" w:ascii="宋体" w:hAnsi="宋体" w:eastAsia="宋体" w:cs="宋体"/>
                      <w:bCs/>
                      <w:sz w:val="24"/>
                      <w:szCs w:val="24"/>
                    </w:rPr>
                  </w:pPr>
                  <w:r>
                    <w:rPr>
                      <w:rFonts w:hint="eastAsia" w:ascii="宋体" w:hAnsi="宋体" w:eastAsia="宋体" w:cs="宋体"/>
                      <w:bCs/>
                      <w:sz w:val="24"/>
                      <w:szCs w:val="24"/>
                    </w:rPr>
                    <w:t>3</w:t>
                  </w:r>
                </w:p>
              </w:tc>
            </w:tr>
            <w:tr w14:paraId="2626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7260FEE5">
                  <w:pPr>
                    <w:widowControl/>
                    <w:spacing w:line="360" w:lineRule="auto"/>
                    <w:rPr>
                      <w:rFonts w:hint="eastAsia" w:ascii="宋体" w:hAnsi="宋体" w:eastAsia="宋体" w:cs="宋体"/>
                      <w:bCs/>
                      <w:kern w:val="0"/>
                      <w:sz w:val="24"/>
                      <w:szCs w:val="24"/>
                    </w:rPr>
                  </w:pPr>
                  <w:r>
                    <w:rPr>
                      <w:rFonts w:hint="eastAsia" w:ascii="宋体" w:hAnsi="宋体" w:eastAsia="宋体" w:cs="宋体"/>
                      <w:bCs/>
                      <w:kern w:val="0"/>
                      <w:sz w:val="24"/>
                      <w:szCs w:val="24"/>
                    </w:rPr>
                    <w:t>C：报价部分得分（总分</w:t>
                  </w:r>
                  <w:r>
                    <w:rPr>
                      <w:rFonts w:hint="eastAsia" w:ascii="宋体" w:hAnsi="宋体" w:eastAsia="宋体" w:cs="宋体"/>
                      <w:bCs/>
                      <w:kern w:val="0"/>
                      <w:sz w:val="24"/>
                      <w:szCs w:val="24"/>
                      <w:lang w:val="en-US" w:eastAsia="zh-CN"/>
                    </w:rPr>
                    <w:t xml:space="preserve">   </w:t>
                  </w:r>
                  <w:r>
                    <w:rPr>
                      <w:rFonts w:hint="eastAsia" w:ascii="宋体" w:hAnsi="宋体" w:eastAsia="宋体" w:cs="宋体"/>
                      <w:bCs/>
                      <w:kern w:val="0"/>
                      <w:sz w:val="24"/>
                      <w:szCs w:val="24"/>
                      <w:shd w:val="clear" w:color="FFFFFF" w:fill="D9D9D9"/>
                    </w:rPr>
                    <w:t>分</w:t>
                  </w:r>
                  <w:r>
                    <w:rPr>
                      <w:rFonts w:hint="eastAsia" w:ascii="宋体" w:hAnsi="宋体" w:eastAsia="宋体" w:cs="宋体"/>
                      <w:bCs/>
                      <w:kern w:val="0"/>
                      <w:sz w:val="24"/>
                      <w:szCs w:val="24"/>
                    </w:rPr>
                    <w:t>）</w:t>
                  </w:r>
                </w:p>
              </w:tc>
            </w:tr>
            <w:tr w14:paraId="3790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23B9C4FE">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评委将按下列方法计算各合格投标人的报价部分得分。</w:t>
                  </w:r>
                </w:p>
                <w:p w14:paraId="151FB827">
                  <w:pPr>
                    <w:spacing w:line="360" w:lineRule="auto"/>
                    <w:ind w:firstLine="1680" w:firstLineChars="700"/>
                    <w:rPr>
                      <w:rFonts w:hint="eastAsia" w:ascii="宋体" w:hAnsi="宋体" w:eastAsia="宋体" w:cs="宋体"/>
                      <w:bCs/>
                      <w:sz w:val="24"/>
                      <w:szCs w:val="24"/>
                    </w:rPr>
                  </w:pPr>
                  <w:r>
                    <w:rPr>
                      <w:rFonts w:hint="eastAsia" w:ascii="宋体" w:hAnsi="宋体" w:eastAsia="宋体" w:cs="宋体"/>
                      <w:bCs/>
                      <w:sz w:val="24"/>
                      <w:szCs w:val="24"/>
                    </w:rPr>
                    <w:t>F</w:t>
                  </w:r>
                  <w:r>
                    <w:rPr>
                      <w:rFonts w:hint="eastAsia" w:ascii="宋体" w:hAnsi="宋体" w:eastAsia="宋体" w:cs="宋体"/>
                      <w:bCs/>
                      <w:sz w:val="24"/>
                      <w:szCs w:val="24"/>
                      <w:vertAlign w:val="subscript"/>
                    </w:rPr>
                    <w:t>低</w:t>
                  </w:r>
                </w:p>
                <w:p w14:paraId="3E71B846">
                  <w:pPr>
                    <w:spacing w:line="360" w:lineRule="auto"/>
                    <w:rPr>
                      <w:rFonts w:hint="default" w:ascii="宋体" w:hAnsi="宋体" w:eastAsia="宋体" w:cs="宋体"/>
                      <w:bCs/>
                      <w:sz w:val="24"/>
                      <w:szCs w:val="24"/>
                      <w:highlight w:val="yellow"/>
                      <w:lang w:val="en-US" w:eastAsia="zh-CN"/>
                    </w:rPr>
                  </w:pPr>
                  <w:r>
                    <w:rPr>
                      <w:rFonts w:hint="eastAsia" w:ascii="宋体" w:hAnsi="宋体" w:eastAsia="宋体" w:cs="宋体"/>
                      <w:bCs/>
                      <w:sz w:val="24"/>
                      <w:szCs w:val="24"/>
                    </w:rPr>
                    <mc:AlternateContent>
                      <mc:Choice Requires="wps">
                        <w:drawing>
                          <wp:anchor distT="0" distB="0" distL="114300" distR="114300" simplePos="0" relativeHeight="251660288" behindDoc="0" locked="0" layoutInCell="1" allowOverlap="1">
                            <wp:simplePos x="0" y="0"/>
                            <wp:positionH relativeFrom="column">
                              <wp:posOffset>617220</wp:posOffset>
                            </wp:positionH>
                            <wp:positionV relativeFrom="paragraph">
                              <wp:posOffset>153670</wp:posOffset>
                            </wp:positionV>
                            <wp:extent cx="88900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8890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8.6pt;margin-top:12.1pt;height:0.05pt;width:70pt;z-index:251660288;mso-width-relative:page;mso-height-relative:page;" filled="f" stroked="t" coordsize="21600,21600" o:gfxdata="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YvSaHVAAAACAEAAA8AAAAAAAAAAQAgAAAAIgAAAGRycy9kb3ducmV2LnhtbFBLAQIUABQA&#10;AAAIAIdO4kBYRx6Y8wEAAOUDAAAOAAAAAAAAAAEAIAAAACQBAABkcnMvZTJvRG9jLnhtbFBLBQYA&#10;AAAABgAGAFkBAACJBQAAAAA=&#10;">
                            <v:fill on="f" focussize="0,0"/>
                            <v:stroke color="#000000" joinstyle="round"/>
                            <v:imagedata o:title=""/>
                            <o:lock v:ext="edit" aspectratio="f"/>
                          </v:line>
                        </w:pict>
                      </mc:Fallback>
                    </mc:AlternateContent>
                  </w:r>
                  <w:r>
                    <w:rPr>
                      <w:rFonts w:hint="eastAsia" w:ascii="宋体" w:hAnsi="宋体" w:eastAsia="宋体" w:cs="宋体"/>
                      <w:bCs/>
                      <w:sz w:val="24"/>
                      <w:szCs w:val="24"/>
                    </w:rPr>
                    <w:t xml:space="preserve">    C=                ×</w:t>
                  </w:r>
                  <w:r>
                    <w:rPr>
                      <w:rFonts w:hint="eastAsia" w:ascii="宋体" w:hAnsi="宋体" w:eastAsia="宋体" w:cs="宋体"/>
                      <w:bCs/>
                      <w:sz w:val="24"/>
                      <w:szCs w:val="24"/>
                      <w:shd w:val="clear" w:color="FFFFFF" w:fill="D9D9D9"/>
                      <w:lang w:val="en-US" w:eastAsia="zh-CN"/>
                    </w:rPr>
                    <w:t>XXX</w:t>
                  </w:r>
                </w:p>
                <w:p w14:paraId="11C6A319">
                  <w:pPr>
                    <w:spacing w:line="360" w:lineRule="auto"/>
                    <w:ind w:firstLine="1764" w:firstLineChars="735"/>
                    <w:rPr>
                      <w:rFonts w:hint="eastAsia" w:ascii="宋体" w:hAnsi="宋体" w:eastAsia="宋体" w:cs="宋体"/>
                      <w:bCs/>
                      <w:sz w:val="24"/>
                      <w:szCs w:val="24"/>
                    </w:rPr>
                  </w:pPr>
                  <w:r>
                    <w:rPr>
                      <w:rFonts w:hint="eastAsia" w:ascii="宋体" w:hAnsi="宋体" w:eastAsia="宋体" w:cs="宋体"/>
                      <w:bCs/>
                      <w:sz w:val="24"/>
                      <w:szCs w:val="24"/>
                    </w:rPr>
                    <w:t>F</w:t>
                  </w:r>
                </w:p>
                <w:p w14:paraId="23919335">
                  <w:pPr>
                    <w:spacing w:line="360" w:lineRule="auto"/>
                    <w:rPr>
                      <w:rFonts w:hint="eastAsia" w:ascii="宋体" w:hAnsi="宋体" w:eastAsia="宋体" w:cs="宋体"/>
                      <w:bCs/>
                      <w:sz w:val="24"/>
                      <w:szCs w:val="24"/>
                    </w:rPr>
                  </w:pPr>
                  <w:r>
                    <w:rPr>
                      <w:rFonts w:hint="eastAsia" w:ascii="宋体" w:hAnsi="宋体" w:eastAsia="宋体" w:cs="宋体"/>
                      <w:bCs/>
                      <w:sz w:val="24"/>
                      <w:szCs w:val="24"/>
                    </w:rPr>
                    <w:t>注：  1、C为投标价格得分。</w:t>
                  </w:r>
                </w:p>
                <w:p w14:paraId="404B5DA9">
                  <w:pPr>
                    <w:widowControl w:val="0"/>
                    <w:spacing w:line="360" w:lineRule="auto"/>
                    <w:ind w:firstLine="720" w:firstLineChars="300"/>
                    <w:jc w:val="both"/>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2、F</w:t>
                  </w:r>
                  <w:r>
                    <w:rPr>
                      <w:rFonts w:hint="eastAsia" w:ascii="宋体" w:hAnsi="宋体" w:eastAsia="宋体" w:cs="宋体"/>
                      <w:bCs/>
                      <w:kern w:val="2"/>
                      <w:sz w:val="24"/>
                      <w:szCs w:val="24"/>
                      <w:vertAlign w:val="subscript"/>
                      <w:lang w:val="en-US" w:eastAsia="zh-CN" w:bidi="ar-SA"/>
                    </w:rPr>
                    <w:t>低</w:t>
                  </w:r>
                  <w:r>
                    <w:rPr>
                      <w:rFonts w:hint="eastAsia" w:ascii="宋体" w:hAnsi="宋体" w:eastAsia="宋体" w:cs="宋体"/>
                      <w:bCs/>
                      <w:kern w:val="2"/>
                      <w:sz w:val="24"/>
                      <w:szCs w:val="24"/>
                      <w:lang w:val="en-US" w:eastAsia="zh-CN" w:bidi="ar-SA"/>
                    </w:rPr>
                    <w:t>为评标基准价，即各合格投标人中最低的报价评标价。</w:t>
                  </w:r>
                </w:p>
                <w:p w14:paraId="4AF35027">
                  <w:pPr>
                    <w:spacing w:line="360" w:lineRule="auto"/>
                    <w:ind w:firstLine="720" w:firstLineChars="300"/>
                    <w:rPr>
                      <w:rFonts w:hint="eastAsia" w:ascii="宋体" w:hAnsi="宋体" w:eastAsia="宋体" w:cs="宋体"/>
                      <w:bCs/>
                      <w:sz w:val="24"/>
                      <w:szCs w:val="24"/>
                    </w:rPr>
                  </w:pPr>
                  <w:r>
                    <w:rPr>
                      <w:rFonts w:hint="eastAsia" w:ascii="宋体" w:hAnsi="宋体" w:eastAsia="宋体" w:cs="宋体"/>
                      <w:bCs/>
                      <w:sz w:val="24"/>
                      <w:szCs w:val="24"/>
                    </w:rPr>
                    <w:t>3、F为各合格投标人的报价评标价。</w:t>
                  </w:r>
                </w:p>
                <w:p w14:paraId="259635B0">
                  <w:pPr>
                    <w:spacing w:line="360" w:lineRule="auto"/>
                    <w:ind w:firstLine="720" w:firstLineChars="300"/>
                    <w:rPr>
                      <w:rFonts w:hint="eastAsia" w:ascii="宋体" w:hAnsi="宋体" w:eastAsia="宋体" w:cs="宋体"/>
                      <w:bCs/>
                      <w:sz w:val="24"/>
                      <w:szCs w:val="24"/>
                    </w:rPr>
                  </w:pPr>
                  <w:r>
                    <w:rPr>
                      <w:rFonts w:hint="eastAsia" w:ascii="宋体" w:hAnsi="宋体" w:eastAsia="宋体" w:cs="宋体"/>
                      <w:bCs/>
                      <w:sz w:val="24"/>
                      <w:szCs w:val="24"/>
                    </w:rPr>
                    <w:t>4、计算分数时四舍五入取小数点后两位。</w:t>
                  </w:r>
                </w:p>
                <w:p w14:paraId="34AC8207">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评标委员会将按比较与评价最优在先原则, 排列评价顺序, 根据在投标人须知前附表中确定的中标候选人数量推荐出中标候选人。</w:t>
                  </w:r>
                </w:p>
                <w:p w14:paraId="18B69FAB">
                  <w:pPr>
                    <w:spacing w:line="360" w:lineRule="auto"/>
                    <w:rPr>
                      <w:rFonts w:hint="eastAsia" w:ascii="宋体" w:hAnsi="宋体" w:eastAsia="宋体" w:cs="宋体"/>
                      <w:bCs/>
                      <w:sz w:val="24"/>
                      <w:szCs w:val="24"/>
                    </w:rPr>
                  </w:pPr>
                  <w:r>
                    <w:rPr>
                      <w:rFonts w:hint="eastAsia" w:ascii="宋体" w:hAnsi="宋体" w:eastAsia="宋体" w:cs="宋体"/>
                      <w:bCs/>
                      <w:sz w:val="24"/>
                      <w:szCs w:val="24"/>
                    </w:rPr>
                    <w:t> </w:t>
                  </w:r>
                  <w:r>
                    <w:rPr>
                      <w:rFonts w:hint="eastAsia" w:ascii="宋体" w:hAnsi="宋体" w:eastAsia="宋体" w:cs="宋体"/>
                      <w:b w:val="0"/>
                      <w:bCs/>
                      <w:sz w:val="24"/>
                      <w:szCs w:val="24"/>
                    </w:rPr>
                    <w:t>评标总得分T=A+B+C</w:t>
                  </w:r>
                  <w:r>
                    <w:rPr>
                      <w:rFonts w:hint="eastAsia" w:ascii="宋体" w:hAnsi="宋体" w:eastAsia="宋体" w:cs="宋体"/>
                      <w:bCs/>
                      <w:sz w:val="24"/>
                      <w:szCs w:val="24"/>
                    </w:rPr>
                    <w:t xml:space="preserve"> </w:t>
                  </w:r>
                  <w:r>
                    <w:rPr>
                      <w:rFonts w:hint="eastAsia" w:ascii="宋体" w:hAnsi="宋体" w:eastAsia="宋体" w:cs="宋体"/>
                      <w:bCs/>
                      <w:sz w:val="24"/>
                      <w:szCs w:val="24"/>
                    </w:rPr>
                    <w:br w:type="textWrapping"/>
                  </w:r>
                  <w:r>
                    <w:rPr>
                      <w:rFonts w:hint="eastAsia" w:ascii="宋体" w:hAnsi="宋体" w:eastAsia="宋体" w:cs="宋体"/>
                      <w:bCs/>
                      <w:sz w:val="24"/>
                      <w:szCs w:val="24"/>
                    </w:rPr>
                    <w:t xml:space="preserve">        注：评标总得分保留小数点后2位。 </w:t>
                  </w:r>
                </w:p>
              </w:tc>
            </w:tr>
            <w:tr w14:paraId="7AD99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0" w:type="dxa"/>
                  <w:gridSpan w:val="4"/>
                  <w:noWrap w:val="0"/>
                  <w:vAlign w:val="center"/>
                </w:tcPr>
                <w:p w14:paraId="3D5AC0A9">
                  <w:pPr>
                    <w:widowControl/>
                    <w:spacing w:line="360" w:lineRule="auto"/>
                    <w:jc w:val="left"/>
                    <w:rPr>
                      <w:rFonts w:hint="eastAsia" w:ascii="宋体" w:hAnsi="宋体" w:eastAsia="宋体" w:cs="宋体"/>
                      <w:bCs/>
                      <w:sz w:val="24"/>
                      <w:szCs w:val="24"/>
                    </w:rPr>
                  </w:pPr>
                  <w:r>
                    <w:rPr>
                      <w:rFonts w:hint="eastAsia" w:ascii="宋体" w:hAnsi="宋体" w:eastAsia="宋体" w:cs="宋体"/>
                      <w:bCs/>
                      <w:sz w:val="24"/>
                      <w:szCs w:val="24"/>
                    </w:rPr>
                    <w:t>注：评标委员会对投标人所提供的资格类文件仅负审核的责任。即使投标人所提交的资格类文件通过了审核，在评标过程中乃至确定中标方后，如发现投标人所提供的资格类文件不合法或不真实，仍可废除中标方中标资格并追究中标方的法律责任。</w:t>
                  </w:r>
                </w:p>
              </w:tc>
            </w:tr>
          </w:tbl>
          <w:p w14:paraId="445854D8">
            <w:pPr>
              <w:keepNext w:val="0"/>
              <w:keepLines w:val="0"/>
              <w:pageBreakBefore w:val="0"/>
              <w:kinsoku/>
              <w:wordWrap/>
              <w:overflowPunct/>
              <w:topLinePunct w:val="0"/>
              <w:autoSpaceDE/>
              <w:autoSpaceDN/>
              <w:bidi w:val="0"/>
              <w:adjustRightInd/>
              <w:snapToGrid w:val="0"/>
              <w:spacing w:line="460" w:lineRule="exact"/>
              <w:rPr>
                <w:rFonts w:hint="default"/>
                <w:lang w:val="en-US" w:eastAsia="zh-CN"/>
              </w:rPr>
            </w:pPr>
          </w:p>
          <w:p w14:paraId="5AD30845">
            <w:pPr>
              <w:keepNext w:val="0"/>
              <w:keepLines w:val="0"/>
              <w:pageBreakBefore w:val="0"/>
              <w:numPr>
                <w:ilvl w:val="0"/>
                <w:numId w:val="0"/>
              </w:numPr>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sz w:val="26"/>
                <w:szCs w:val="26"/>
              </w:rPr>
            </w:pPr>
            <w:r>
              <w:rPr>
                <w:rFonts w:hint="eastAsia" w:ascii="仿宋_GB2312" w:hAnsi="仿宋_GB2312" w:eastAsia="仿宋_GB2312" w:cs="仿宋_GB2312"/>
                <w:b/>
                <w:sz w:val="26"/>
                <w:szCs w:val="26"/>
                <w:lang w:val="en-US" w:eastAsia="zh-CN"/>
              </w:rPr>
              <w:t>五、商务</w:t>
            </w:r>
            <w:r>
              <w:rPr>
                <w:rFonts w:hint="eastAsia" w:ascii="仿宋_GB2312" w:hAnsi="仿宋_GB2312" w:eastAsia="仿宋_GB2312" w:cs="仿宋_GB2312"/>
                <w:b/>
                <w:sz w:val="26"/>
                <w:szCs w:val="26"/>
              </w:rPr>
              <w:t>要求</w:t>
            </w:r>
          </w:p>
          <w:p w14:paraId="6AF4A543">
            <w:pPr>
              <w:pStyle w:val="3"/>
              <w:keepNext w:val="0"/>
              <w:keepLines w:val="0"/>
              <w:pageBreakBefore w:val="0"/>
              <w:kinsoku/>
              <w:wordWrap/>
              <w:overflowPunct/>
              <w:topLinePunct w:val="0"/>
              <w:autoSpaceDE/>
              <w:autoSpaceDN/>
              <w:bidi w:val="0"/>
              <w:adjustRightInd/>
              <w:spacing w:line="460" w:lineRule="exact"/>
              <w:ind w:firstLine="520" w:firstLineChars="200"/>
              <w:rPr>
                <w:rFonts w:hint="eastAsia" w:ascii="仿宋_GB2312" w:hAnsi="仿宋_GB2312" w:eastAsia="仿宋_GB2312" w:cs="仿宋_GB2312"/>
                <w:color w:val="FF0000"/>
                <w:sz w:val="26"/>
                <w:szCs w:val="26"/>
              </w:rPr>
            </w:pPr>
            <w:r>
              <w:rPr>
                <w:rFonts w:hint="eastAsia" w:ascii="仿宋_GB2312" w:hAnsi="仿宋_GB2312" w:eastAsia="仿宋_GB2312" w:cs="仿宋_GB2312"/>
                <w:color w:val="FF0000"/>
                <w:sz w:val="26"/>
                <w:szCs w:val="26"/>
              </w:rPr>
              <w:t>（包含但不限制于以下内容。。。。）</w:t>
            </w:r>
          </w:p>
          <w:p w14:paraId="137BB566">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color w:val="FF0000"/>
                <w:sz w:val="26"/>
                <w:szCs w:val="26"/>
                <w:lang w:val="en-US" w:eastAsia="zh-CN"/>
              </w:rPr>
            </w:pPr>
            <w:r>
              <w:rPr>
                <w:rFonts w:hint="eastAsia" w:ascii="仿宋_GB2312" w:hAnsi="仿宋_GB2312" w:eastAsia="仿宋_GB2312" w:cs="仿宋_GB2312"/>
                <w:b/>
                <w:bCs w:val="0"/>
                <w:sz w:val="26"/>
                <w:szCs w:val="26"/>
                <w:lang w:val="en-US" w:eastAsia="zh-CN"/>
              </w:rPr>
              <w:t>1.交付时间：</w:t>
            </w:r>
            <w:r>
              <w:rPr>
                <w:rFonts w:hint="eastAsia" w:ascii="仿宋_GB2312" w:hAnsi="仿宋_GB2312" w:eastAsia="仿宋_GB2312" w:cs="仿宋_GB2312"/>
                <w:bCs/>
                <w:sz w:val="26"/>
                <w:szCs w:val="26"/>
                <w:highlight w:val="yellow"/>
                <w:lang w:val="en-US" w:eastAsia="zh-CN"/>
              </w:rPr>
              <w:t>合同签订后   天内供货并安装调试完毕，验收合格后并交付采购人使用。</w:t>
            </w:r>
            <w:r>
              <w:rPr>
                <w:rFonts w:hint="eastAsia" w:ascii="仿宋_GB2312" w:hAnsi="仿宋_GB2312" w:eastAsia="仿宋_GB2312" w:cs="仿宋_GB2312"/>
                <w:bCs/>
                <w:color w:val="FF0000"/>
                <w:sz w:val="26"/>
                <w:szCs w:val="26"/>
                <w:lang w:val="en-US" w:eastAsia="zh-CN"/>
              </w:rPr>
              <w:t>（此为常规提法，若有特殊要求请注明）</w:t>
            </w:r>
          </w:p>
          <w:p w14:paraId="12B85302">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sz w:val="26"/>
                <w:szCs w:val="26"/>
                <w:lang w:val="en-US" w:eastAsia="zh-CN"/>
              </w:rPr>
            </w:pPr>
            <w:r>
              <w:rPr>
                <w:rFonts w:hint="eastAsia" w:ascii="仿宋_GB2312" w:hAnsi="仿宋_GB2312" w:eastAsia="仿宋_GB2312" w:cs="仿宋_GB2312"/>
                <w:b/>
                <w:bCs w:val="0"/>
                <w:sz w:val="26"/>
                <w:szCs w:val="26"/>
                <w:lang w:val="en-US" w:eastAsia="zh-CN"/>
              </w:rPr>
              <w:t>2.交付地点：</w:t>
            </w:r>
            <w:r>
              <w:rPr>
                <w:rFonts w:hint="eastAsia" w:ascii="仿宋_GB2312" w:hAnsi="仿宋_GB2312" w:eastAsia="仿宋_GB2312" w:cs="仿宋_GB2312"/>
                <w:bCs/>
                <w:sz w:val="26"/>
                <w:szCs w:val="26"/>
                <w:lang w:val="en-US" w:eastAsia="zh-CN"/>
              </w:rPr>
              <w:t>福建师范大学协和学院</w:t>
            </w:r>
          </w:p>
          <w:p w14:paraId="3C92AE1B">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sz w:val="26"/>
                <w:szCs w:val="26"/>
                <w:lang w:val="en-US" w:eastAsia="zh-CN"/>
              </w:rPr>
            </w:pPr>
            <w:r>
              <w:rPr>
                <w:rFonts w:hint="eastAsia" w:ascii="仿宋_GB2312" w:hAnsi="仿宋_GB2312" w:eastAsia="仿宋_GB2312" w:cs="仿宋_GB2312"/>
                <w:b/>
                <w:bCs w:val="0"/>
                <w:sz w:val="26"/>
                <w:szCs w:val="26"/>
                <w:lang w:val="en-US" w:eastAsia="zh-CN"/>
              </w:rPr>
              <w:t>3.交付条件：</w:t>
            </w:r>
            <w:r>
              <w:rPr>
                <w:rFonts w:hint="eastAsia" w:ascii="仿宋_GB2312" w:hAnsi="仿宋_GB2312" w:eastAsia="仿宋_GB2312" w:cs="仿宋_GB2312"/>
                <w:bCs/>
                <w:sz w:val="26"/>
                <w:szCs w:val="26"/>
                <w:lang w:val="en-US" w:eastAsia="zh-CN"/>
              </w:rPr>
              <w:t>验收合格</w:t>
            </w:r>
          </w:p>
          <w:p w14:paraId="2478B4CC">
            <w:pPr>
              <w:keepNext w:val="0"/>
              <w:keepLines w:val="0"/>
              <w:pageBreakBefore w:val="0"/>
              <w:kinsoku/>
              <w:wordWrap/>
              <w:overflowPunct/>
              <w:topLinePunct w:val="0"/>
              <w:autoSpaceDE/>
              <w:autoSpaceDN/>
              <w:bidi w:val="0"/>
              <w:adjustRightInd/>
              <w:spacing w:line="460" w:lineRule="exact"/>
              <w:ind w:firstLine="522" w:firstLineChars="200"/>
              <w:rPr>
                <w:rFonts w:hint="eastAsia" w:ascii="仿宋_GB2312" w:hAnsi="仿宋_GB2312" w:eastAsia="仿宋_GB2312" w:cs="仿宋_GB2312"/>
                <w:sz w:val="26"/>
                <w:szCs w:val="26"/>
              </w:rPr>
            </w:pPr>
            <w:r>
              <w:rPr>
                <w:rStyle w:val="11"/>
                <w:rFonts w:hint="eastAsia" w:ascii="仿宋_GB2312" w:hAnsi="仿宋_GB2312" w:eastAsia="仿宋_GB2312" w:cs="仿宋_GB2312"/>
                <w:b/>
                <w:bCs w:val="0"/>
                <w:color w:val="auto"/>
                <w:sz w:val="26"/>
                <w:szCs w:val="26"/>
                <w:lang w:val="en-US" w:eastAsia="zh-CN"/>
              </w:rPr>
              <w:t>4.</w:t>
            </w:r>
            <w:r>
              <w:rPr>
                <w:rStyle w:val="11"/>
                <w:rFonts w:hint="eastAsia" w:ascii="仿宋_GB2312" w:hAnsi="仿宋_GB2312" w:eastAsia="仿宋_GB2312" w:cs="仿宋_GB2312"/>
                <w:color w:val="auto"/>
                <w:sz w:val="26"/>
                <w:szCs w:val="26"/>
              </w:rPr>
              <w:t>是否收取履约保证金：</w:t>
            </w:r>
            <w:r>
              <w:rPr>
                <w:rFonts w:hint="eastAsia" w:ascii="仿宋_GB2312" w:hAnsi="仿宋_GB2312" w:eastAsia="仿宋_GB2312" w:cs="仿宋_GB2312"/>
                <w:sz w:val="26"/>
                <w:szCs w:val="26"/>
                <w:lang w:val="en-US" w:eastAsia="zh-CN"/>
              </w:rPr>
              <w:t>X</w:t>
            </w:r>
            <w:r>
              <w:rPr>
                <w:rFonts w:hint="eastAsia" w:ascii="仿宋_GB2312" w:hAnsi="仿宋_GB2312" w:eastAsia="仿宋_GB2312" w:cs="仿宋_GB2312"/>
                <w:sz w:val="26"/>
                <w:szCs w:val="26"/>
              </w:rPr>
              <w:t>%。说明：中标人在签订采购合同前应向采购人缴纳合同总金额的</w:t>
            </w:r>
            <w:r>
              <w:rPr>
                <w:rFonts w:hint="eastAsia" w:ascii="仿宋_GB2312" w:hAnsi="仿宋_GB2312" w:eastAsia="仿宋_GB2312" w:cs="仿宋_GB2312"/>
                <w:sz w:val="26"/>
                <w:szCs w:val="26"/>
                <w:lang w:val="en-US" w:eastAsia="zh-CN"/>
              </w:rPr>
              <w:t>X</w:t>
            </w:r>
            <w:r>
              <w:rPr>
                <w:rFonts w:hint="eastAsia" w:ascii="仿宋_GB2312" w:hAnsi="仿宋_GB2312" w:eastAsia="仿宋_GB2312" w:cs="仿宋_GB2312"/>
                <w:sz w:val="26"/>
                <w:szCs w:val="26"/>
              </w:rPr>
              <w:t>%作为履约保证金（本项目</w:t>
            </w:r>
            <w:r>
              <w:rPr>
                <w:rFonts w:hint="eastAsia" w:ascii="仿宋_GB2312" w:hAnsi="仿宋_GB2312" w:eastAsia="仿宋_GB2312" w:cs="仿宋_GB2312"/>
                <w:color w:val="auto"/>
                <w:sz w:val="26"/>
                <w:szCs w:val="26"/>
                <w:highlight w:val="yellow"/>
                <w:lang w:val="en-US" w:eastAsia="zh-CN"/>
              </w:rPr>
              <w:t>是/否</w:t>
            </w:r>
            <w:r>
              <w:rPr>
                <w:rFonts w:hint="eastAsia" w:ascii="仿宋_GB2312" w:hAnsi="仿宋_GB2312" w:eastAsia="仿宋_GB2312" w:cs="仿宋_GB2312"/>
                <w:sz w:val="26"/>
                <w:szCs w:val="26"/>
              </w:rPr>
              <w:t>专门面向中小企业的采购项目，若本项目中标人为中小微企业（须提供声明函），缴纳履约保证金的金额为合同总金额</w:t>
            </w:r>
            <w:r>
              <w:rPr>
                <w:rFonts w:hint="eastAsia" w:ascii="仿宋_GB2312" w:hAnsi="仿宋_GB2312" w:eastAsia="仿宋_GB2312" w:cs="仿宋_GB2312"/>
                <w:sz w:val="26"/>
                <w:szCs w:val="26"/>
                <w:lang w:val="en-US" w:eastAsia="zh-CN"/>
              </w:rPr>
              <w:t>X</w:t>
            </w:r>
            <w:r>
              <w:rPr>
                <w:rFonts w:hint="eastAsia" w:ascii="仿宋_GB2312" w:hAnsi="仿宋_GB2312" w:eastAsia="仿宋_GB2312" w:cs="仿宋_GB2312"/>
                <w:sz w:val="26"/>
                <w:szCs w:val="26"/>
              </w:rPr>
              <w:t>%），该履约保证金于验收合格满</w:t>
            </w:r>
            <w:r>
              <w:rPr>
                <w:rFonts w:hint="eastAsia" w:ascii="仿宋_GB2312" w:hAnsi="仿宋_GB2312" w:eastAsia="仿宋_GB2312" w:cs="仿宋_GB2312"/>
                <w:sz w:val="26"/>
                <w:szCs w:val="26"/>
                <w:lang w:val="en-US" w:eastAsia="zh-CN"/>
              </w:rPr>
              <w:t>X</w:t>
            </w:r>
            <w:r>
              <w:rPr>
                <w:rFonts w:hint="eastAsia" w:ascii="仿宋_GB2312" w:hAnsi="仿宋_GB2312" w:eastAsia="仿宋_GB2312" w:cs="仿宋_GB2312"/>
                <w:sz w:val="26"/>
                <w:szCs w:val="26"/>
              </w:rPr>
              <w:t>年且中标人无违约的前提下无息退还。</w:t>
            </w:r>
          </w:p>
          <w:p w14:paraId="671EF223">
            <w:pPr>
              <w:pStyle w:val="20"/>
              <w:spacing w:line="480" w:lineRule="exact"/>
              <w:ind w:firstLine="520" w:firstLineChars="200"/>
              <w:rPr>
                <w:rStyle w:val="10"/>
                <w:rFonts w:hint="eastAsia" w:ascii="仿宋_GB2312" w:hAnsi="仿宋_GB2312" w:eastAsia="仿宋_GB2312" w:cs="仿宋_GB2312"/>
                <w:color w:val="auto"/>
                <w:kern w:val="2"/>
                <w:sz w:val="26"/>
                <w:szCs w:val="26"/>
              </w:rPr>
            </w:pPr>
            <w:r>
              <w:rPr>
                <w:rStyle w:val="10"/>
                <w:rFonts w:hint="eastAsia" w:ascii="仿宋_GB2312" w:hAnsi="仿宋_GB2312" w:eastAsia="仿宋_GB2312" w:cs="仿宋_GB2312"/>
                <w:color w:val="auto"/>
                <w:kern w:val="2"/>
                <w:sz w:val="26"/>
                <w:szCs w:val="26"/>
              </w:rPr>
              <w:t>5</w:t>
            </w:r>
            <w:r>
              <w:rPr>
                <w:rFonts w:hint="eastAsia" w:ascii="仿宋_GB2312" w:hAnsi="仿宋_GB2312" w:eastAsia="仿宋_GB2312" w:cs="仿宋_GB2312"/>
                <w:color w:val="auto"/>
                <w:kern w:val="2"/>
                <w:sz w:val="26"/>
                <w:szCs w:val="26"/>
                <w:lang w:eastAsia="zh-CN"/>
              </w:rPr>
              <w:t>.</w:t>
            </w:r>
            <w:r>
              <w:rPr>
                <w:rStyle w:val="10"/>
                <w:rFonts w:hint="eastAsia" w:ascii="仿宋_GB2312" w:hAnsi="仿宋_GB2312" w:eastAsia="仿宋_GB2312" w:cs="仿宋_GB2312"/>
                <w:color w:val="auto"/>
                <w:kern w:val="2"/>
                <w:sz w:val="26"/>
                <w:szCs w:val="26"/>
              </w:rPr>
              <w:t>是否邀请投标人参与验收：否</w:t>
            </w:r>
          </w:p>
          <w:p w14:paraId="27DB7F8D">
            <w:pPr>
              <w:pStyle w:val="20"/>
              <w:ind w:firstLine="520" w:firstLineChars="200"/>
              <w:jc w:val="left"/>
              <w:rPr>
                <w:rStyle w:val="10"/>
                <w:rFonts w:hint="eastAsia" w:ascii="仿宋_GB2312" w:hAnsi="仿宋_GB2312" w:eastAsia="仿宋_GB2312" w:cs="仿宋_GB2312"/>
                <w:color w:val="auto"/>
                <w:kern w:val="2"/>
                <w:sz w:val="26"/>
                <w:szCs w:val="26"/>
              </w:rPr>
            </w:pPr>
            <w:r>
              <w:rPr>
                <w:rStyle w:val="10"/>
                <w:rFonts w:hint="eastAsia" w:ascii="仿宋_GB2312" w:hAnsi="仿宋_GB2312" w:eastAsia="仿宋_GB2312" w:cs="仿宋_GB2312"/>
                <w:color w:val="auto"/>
                <w:kern w:val="2"/>
                <w:sz w:val="26"/>
                <w:szCs w:val="26"/>
              </w:rPr>
              <w:t>6</w:t>
            </w:r>
            <w:r>
              <w:rPr>
                <w:rFonts w:hint="eastAsia" w:ascii="仿宋_GB2312" w:hAnsi="仿宋_GB2312" w:eastAsia="仿宋_GB2312" w:cs="仿宋_GB2312"/>
                <w:color w:val="auto"/>
                <w:kern w:val="2"/>
                <w:sz w:val="26"/>
                <w:szCs w:val="26"/>
                <w:lang w:eastAsia="zh-CN"/>
              </w:rPr>
              <w:t>.</w:t>
            </w:r>
            <w:r>
              <w:rPr>
                <w:rStyle w:val="10"/>
                <w:rFonts w:hint="eastAsia" w:ascii="仿宋_GB2312" w:hAnsi="仿宋_GB2312" w:eastAsia="仿宋_GB2312" w:cs="仿宋_GB2312"/>
                <w:color w:val="auto"/>
                <w:kern w:val="2"/>
                <w:sz w:val="26"/>
                <w:szCs w:val="26"/>
              </w:rPr>
              <w:t>验收要求：</w:t>
            </w:r>
          </w:p>
          <w:p w14:paraId="74B2806E">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6.1验收标准</w:t>
            </w:r>
          </w:p>
          <w:p w14:paraId="7A383334">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中标人所提供的设备必须是制造厂家生产的崭新的未开箱的原包装设备。所有设备按厂家设备验收标准(符合国家或行业或地方标准)、招标文件等有关内容进行验收。中标人提供设备的制造标准及技术规范等有关资料必须符合中国相应有关标准、规范要求。</w:t>
            </w:r>
          </w:p>
          <w:p w14:paraId="2DB89BDE">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6.2验收程序：货物验收分中标人出厂检验、到货验收、试运行和最终验收四个阶段。</w:t>
            </w:r>
          </w:p>
          <w:p w14:paraId="7B323814">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（1）出厂检验</w:t>
            </w:r>
          </w:p>
          <w:p w14:paraId="2C8173AB">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中标人在设备出厂前，应按设备技术标准规定的检验项目和检验方法进行全面检验，中标人应随同货物出具供货证明、产地证书、出厂检验报告和设备质量合格证等。结果必须符合以上条款验收标准的要求。</w:t>
            </w:r>
          </w:p>
          <w:p w14:paraId="3A7D32E4">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（2）中标人自检</w:t>
            </w:r>
          </w:p>
          <w:p w14:paraId="3D32DDAF">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设备在安装地安装完毕后，要求中标人对所有设备的性能进行自检，检验结果必须符合招标文件技术要求以及合同中相关条款，同时向采购人提供自检记录。</w:t>
            </w:r>
          </w:p>
          <w:p w14:paraId="3BABBCC5">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（3）验收与最终验收</w:t>
            </w:r>
          </w:p>
          <w:p w14:paraId="7585BEFB">
            <w:pPr>
              <w:spacing w:line="460" w:lineRule="exact"/>
              <w:ind w:firstLine="520" w:firstLineChars="200"/>
              <w:jc w:val="left"/>
              <w:rPr>
                <w:rStyle w:val="10"/>
                <w:rFonts w:hint="eastAsia" w:ascii="仿宋_GB2312" w:hAnsi="仿宋_GB2312" w:eastAsia="仿宋_GB2312" w:cs="仿宋_GB2312"/>
                <w:b w:val="0"/>
                <w:color w:val="FF0000"/>
                <w:kern w:val="2"/>
                <w:sz w:val="26"/>
                <w:szCs w:val="26"/>
              </w:rPr>
            </w:pPr>
            <w:r>
              <w:rPr>
                <w:rStyle w:val="10"/>
                <w:rFonts w:hint="eastAsia" w:ascii="仿宋_GB2312" w:hAnsi="仿宋_GB2312" w:eastAsia="仿宋_GB2312" w:cs="仿宋_GB2312"/>
                <w:b w:val="0"/>
                <w:color w:val="FF0000"/>
                <w:kern w:val="2"/>
                <w:sz w:val="26"/>
                <w:szCs w:val="26"/>
              </w:rPr>
              <w:t>中标人自检、调试后确信该设备已全部达到招标文件中的技术要求，应书面向采购人申请对该设备进行最终验收。验收时，由采购人、监督人、有关专家等一同按招标文件以及合同相关条款要求对设备进行验收，验收结果符合本项目招标文件和合同要求为合格。</w:t>
            </w:r>
          </w:p>
          <w:p w14:paraId="57C0AAEF">
            <w:pPr>
              <w:spacing w:line="460" w:lineRule="exact"/>
              <w:ind w:firstLine="520" w:firstLineChars="200"/>
              <w:jc w:val="left"/>
              <w:rPr>
                <w:rFonts w:hint="eastAsia"/>
              </w:rPr>
            </w:pPr>
            <w:r>
              <w:rPr>
                <w:rStyle w:val="10"/>
                <w:rFonts w:hint="eastAsia" w:ascii="仿宋_GB2312" w:hAnsi="仿宋_GB2312" w:eastAsia="仿宋_GB2312" w:cs="仿宋_GB2312"/>
                <w:b w:val="0"/>
                <w:color w:val="FF0000"/>
                <w:kern w:val="2"/>
                <w:sz w:val="26"/>
                <w:szCs w:val="26"/>
              </w:rPr>
              <w:t>6.3中标人在采购人安装现场进行最终验收所发生的一切费用均由中标人承担。</w:t>
            </w:r>
          </w:p>
          <w:p w14:paraId="7005D6A4">
            <w:pPr>
              <w:keepNext w:val="0"/>
              <w:keepLines w:val="0"/>
              <w:pageBreakBefore w:val="0"/>
              <w:widowControl/>
              <w:kinsoku/>
              <w:wordWrap/>
              <w:overflowPunct/>
              <w:topLinePunct w:val="0"/>
              <w:autoSpaceDE/>
              <w:autoSpaceDN/>
              <w:bidi w:val="0"/>
              <w:adjustRightInd/>
              <w:spacing w:line="460" w:lineRule="exact"/>
              <w:ind w:firstLine="520" w:firstLineChars="200"/>
              <w:jc w:val="left"/>
              <w:rPr>
                <w:rStyle w:val="11"/>
                <w:rFonts w:hint="eastAsia" w:ascii="仿宋_GB2312" w:hAnsi="仿宋_GB2312" w:eastAsia="仿宋_GB2312" w:cs="仿宋_GB2312"/>
                <w:color w:val="auto"/>
                <w:kern w:val="0"/>
                <w:sz w:val="26"/>
                <w:szCs w:val="26"/>
                <w:lang w:eastAsia="zh-CN"/>
              </w:rPr>
            </w:pPr>
            <w:r>
              <w:rPr>
                <w:rFonts w:hint="eastAsia" w:ascii="仿宋_GB2312" w:hAnsi="仿宋_GB2312" w:eastAsia="仿宋_GB2312" w:cs="仿宋_GB2312"/>
                <w:bCs/>
                <w:sz w:val="26"/>
                <w:szCs w:val="26"/>
                <w:lang w:val="en-US" w:eastAsia="zh-CN"/>
              </w:rPr>
              <w:t>7.</w:t>
            </w:r>
            <w:r>
              <w:rPr>
                <w:rStyle w:val="11"/>
                <w:rFonts w:hint="eastAsia" w:ascii="仿宋_GB2312" w:hAnsi="仿宋_GB2312" w:eastAsia="仿宋_GB2312" w:cs="仿宋_GB2312"/>
                <w:color w:val="auto"/>
                <w:kern w:val="0"/>
                <w:sz w:val="26"/>
                <w:szCs w:val="26"/>
              </w:rPr>
              <w:t>支付方式</w:t>
            </w:r>
            <w:r>
              <w:rPr>
                <w:rStyle w:val="11"/>
                <w:rFonts w:hint="eastAsia" w:ascii="仿宋_GB2312" w:hAnsi="仿宋_GB2312" w:eastAsia="仿宋_GB2312" w:cs="仿宋_GB2312"/>
                <w:color w:val="auto"/>
                <w:kern w:val="0"/>
                <w:sz w:val="26"/>
                <w:szCs w:val="26"/>
                <w:lang w:eastAsia="zh-CN"/>
              </w:rPr>
              <w:t>：</w:t>
            </w:r>
          </w:p>
          <w:tbl>
            <w:tblPr>
              <w:tblStyle w:val="8"/>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31"/>
              <w:gridCol w:w="1731"/>
              <w:gridCol w:w="6506"/>
            </w:tblGrid>
            <w:tr w14:paraId="76AD8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blCellSpacing w:w="0" w:type="dxa"/>
              </w:trPr>
              <w:tc>
                <w:tcPr>
                  <w:tcW w:w="1431" w:type="dxa"/>
                  <w:noWrap w:val="0"/>
                  <w:vAlign w:val="center"/>
                </w:tcPr>
                <w:p w14:paraId="5C845F25">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kern w:val="0"/>
                      <w:sz w:val="26"/>
                      <w:szCs w:val="26"/>
                      <w:lang w:bidi="ar"/>
                    </w:rPr>
                    <w:t>支付期次</w:t>
                  </w:r>
                </w:p>
              </w:tc>
              <w:tc>
                <w:tcPr>
                  <w:tcW w:w="1731" w:type="dxa"/>
                  <w:noWrap w:val="0"/>
                  <w:vAlign w:val="center"/>
                </w:tcPr>
                <w:p w14:paraId="127FB55B">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kern w:val="0"/>
                      <w:sz w:val="26"/>
                      <w:szCs w:val="26"/>
                      <w:lang w:bidi="ar"/>
                    </w:rPr>
                    <w:t>支付比例(%)</w:t>
                  </w:r>
                </w:p>
              </w:tc>
              <w:tc>
                <w:tcPr>
                  <w:tcW w:w="6506" w:type="dxa"/>
                  <w:noWrap w:val="0"/>
                  <w:vAlign w:val="center"/>
                </w:tcPr>
                <w:p w14:paraId="0EA6F610">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kern w:val="0"/>
                      <w:sz w:val="26"/>
                      <w:szCs w:val="26"/>
                      <w:lang w:bidi="ar"/>
                    </w:rPr>
                    <w:t>支付期次说明</w:t>
                  </w:r>
                </w:p>
              </w:tc>
            </w:tr>
            <w:tr w14:paraId="0CE85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blCellSpacing w:w="0" w:type="dxa"/>
              </w:trPr>
              <w:tc>
                <w:tcPr>
                  <w:tcW w:w="1431" w:type="dxa"/>
                  <w:noWrap w:val="0"/>
                  <w:vAlign w:val="center"/>
                </w:tcPr>
                <w:p w14:paraId="1FF94023">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kern w:val="0"/>
                      <w:sz w:val="26"/>
                      <w:szCs w:val="26"/>
                      <w:highlight w:val="none"/>
                      <w:lang w:bidi="ar"/>
                    </w:rPr>
                  </w:pPr>
                  <w:r>
                    <w:rPr>
                      <w:rFonts w:hint="eastAsia" w:ascii="仿宋_GB2312" w:hAnsi="仿宋_GB2312" w:eastAsia="仿宋_GB2312" w:cs="仿宋_GB2312"/>
                      <w:color w:val="auto"/>
                      <w:kern w:val="0"/>
                      <w:sz w:val="26"/>
                      <w:szCs w:val="26"/>
                      <w:highlight w:val="none"/>
                      <w:lang w:bidi="ar"/>
                    </w:rPr>
                    <w:t>1</w:t>
                  </w:r>
                </w:p>
              </w:tc>
              <w:tc>
                <w:tcPr>
                  <w:tcW w:w="1731" w:type="dxa"/>
                  <w:noWrap w:val="0"/>
                  <w:vAlign w:val="center"/>
                </w:tcPr>
                <w:p w14:paraId="73F68F09">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kern w:val="0"/>
                      <w:sz w:val="26"/>
                      <w:szCs w:val="26"/>
                      <w:highlight w:val="none"/>
                      <w:lang w:val="en-US" w:eastAsia="zh-CN" w:bidi="ar"/>
                    </w:rPr>
                  </w:pPr>
                  <w:r>
                    <w:rPr>
                      <w:rFonts w:hint="eastAsia" w:ascii="仿宋_GB2312" w:hAnsi="仿宋_GB2312" w:eastAsia="仿宋_GB2312" w:cs="仿宋_GB2312"/>
                      <w:color w:val="FF0000"/>
                      <w:kern w:val="0"/>
                      <w:sz w:val="26"/>
                      <w:szCs w:val="26"/>
                      <w:highlight w:val="yellow"/>
                      <w:lang w:val="en-US" w:eastAsia="zh-CN" w:bidi="ar"/>
                    </w:rPr>
                    <w:t>80（根据项目实际设定）</w:t>
                  </w:r>
                </w:p>
              </w:tc>
              <w:tc>
                <w:tcPr>
                  <w:tcW w:w="6506" w:type="dxa"/>
                  <w:noWrap w:val="0"/>
                  <w:vAlign w:val="center"/>
                </w:tcPr>
                <w:p w14:paraId="4205C174">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kern w:val="0"/>
                      <w:sz w:val="26"/>
                      <w:szCs w:val="26"/>
                      <w:highlight w:val="none"/>
                      <w:lang w:bidi="ar"/>
                    </w:rPr>
                  </w:pPr>
                  <w:r>
                    <w:rPr>
                      <w:rFonts w:hint="eastAsia" w:ascii="仿宋_GB2312" w:hAnsi="仿宋_GB2312" w:eastAsia="仿宋_GB2312" w:cs="仿宋_GB2312"/>
                      <w:sz w:val="26"/>
                      <w:szCs w:val="26"/>
                    </w:rPr>
                    <w:t>货物运至采购人指定地点安装并调试完毕，经验收合格后，中标供应商提供100%全额税务发票(</w:t>
                  </w:r>
                  <w:r>
                    <w:rPr>
                      <w:rFonts w:hint="eastAsia" w:ascii="仿宋_GB2312" w:hAnsi="仿宋_GB2312" w:eastAsia="仿宋_GB2312" w:cs="仿宋_GB2312"/>
                      <w:color w:val="FF0000"/>
                      <w:sz w:val="26"/>
                      <w:szCs w:val="26"/>
                      <w:lang w:val="en-US" w:eastAsia="zh-CN"/>
                    </w:rPr>
                    <w:t>根据项目实际注明普票还是专票</w:t>
                  </w:r>
                  <w:r>
                    <w:rPr>
                      <w:rFonts w:hint="eastAsia" w:ascii="仿宋_GB2312" w:hAnsi="仿宋_GB2312" w:eastAsia="仿宋_GB2312" w:cs="仿宋_GB2312"/>
                      <w:sz w:val="26"/>
                      <w:szCs w:val="26"/>
                    </w:rPr>
                    <w:t>)，采购人在15个工作日支付合同总价的</w:t>
                  </w:r>
                  <w:r>
                    <w:rPr>
                      <w:rFonts w:hint="eastAsia" w:ascii="仿宋_GB2312" w:hAnsi="仿宋_GB2312" w:eastAsia="仿宋_GB2312" w:cs="仿宋_GB2312"/>
                      <w:color w:val="FF0000"/>
                      <w:sz w:val="26"/>
                      <w:szCs w:val="26"/>
                    </w:rPr>
                    <w:t xml:space="preserve"> </w:t>
                  </w:r>
                  <w:r>
                    <w:rPr>
                      <w:rFonts w:hint="eastAsia" w:ascii="仿宋_GB2312" w:hAnsi="仿宋_GB2312" w:eastAsia="仿宋_GB2312" w:cs="仿宋_GB2312"/>
                      <w:color w:val="FF0000"/>
                      <w:sz w:val="26"/>
                      <w:szCs w:val="26"/>
                      <w:highlight w:val="yellow"/>
                    </w:rPr>
                    <w:t xml:space="preserve">80 </w:t>
                  </w:r>
                  <w:r>
                    <w:rPr>
                      <w:rFonts w:hint="eastAsia" w:ascii="仿宋_GB2312" w:hAnsi="仿宋_GB2312" w:eastAsia="仿宋_GB2312" w:cs="仿宋_GB2312"/>
                      <w:sz w:val="26"/>
                      <w:szCs w:val="26"/>
                      <w:highlight w:val="yellow"/>
                    </w:rPr>
                    <w:t>%</w:t>
                  </w:r>
                  <w:r>
                    <w:rPr>
                      <w:rFonts w:hint="eastAsia" w:ascii="仿宋_GB2312" w:hAnsi="仿宋_GB2312" w:eastAsia="仿宋_GB2312" w:cs="仿宋_GB2312"/>
                      <w:sz w:val="26"/>
                      <w:szCs w:val="26"/>
                    </w:rPr>
                    <w:t>。</w:t>
                  </w:r>
                </w:p>
              </w:tc>
            </w:tr>
            <w:tr w14:paraId="3FBDF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blCellSpacing w:w="0" w:type="dxa"/>
              </w:trPr>
              <w:tc>
                <w:tcPr>
                  <w:tcW w:w="1431" w:type="dxa"/>
                  <w:noWrap w:val="0"/>
                  <w:vAlign w:val="center"/>
                </w:tcPr>
                <w:p w14:paraId="5E2966DF">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kern w:val="0"/>
                      <w:sz w:val="26"/>
                      <w:szCs w:val="26"/>
                      <w:highlight w:val="none"/>
                      <w:lang w:val="en-US" w:eastAsia="zh-CN" w:bidi="ar"/>
                    </w:rPr>
                  </w:pPr>
                  <w:r>
                    <w:rPr>
                      <w:rFonts w:hint="eastAsia" w:ascii="仿宋_GB2312" w:hAnsi="仿宋_GB2312" w:eastAsia="仿宋_GB2312" w:cs="仿宋_GB2312"/>
                      <w:color w:val="auto"/>
                      <w:kern w:val="0"/>
                      <w:sz w:val="26"/>
                      <w:szCs w:val="26"/>
                      <w:highlight w:val="none"/>
                      <w:lang w:val="en-US" w:eastAsia="zh-CN" w:bidi="ar"/>
                    </w:rPr>
                    <w:t>2</w:t>
                  </w:r>
                </w:p>
              </w:tc>
              <w:tc>
                <w:tcPr>
                  <w:tcW w:w="1731" w:type="dxa"/>
                  <w:noWrap w:val="0"/>
                  <w:vAlign w:val="center"/>
                </w:tcPr>
                <w:p w14:paraId="3EC6024D">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kern w:val="0"/>
                      <w:sz w:val="26"/>
                      <w:szCs w:val="26"/>
                      <w:highlight w:val="yellow"/>
                      <w:lang w:val="en-US" w:eastAsia="zh-CN" w:bidi="ar"/>
                    </w:rPr>
                  </w:pPr>
                  <w:r>
                    <w:rPr>
                      <w:rFonts w:hint="eastAsia" w:ascii="仿宋_GB2312" w:hAnsi="仿宋_GB2312" w:eastAsia="仿宋_GB2312" w:cs="仿宋_GB2312"/>
                      <w:color w:val="FF0000"/>
                      <w:kern w:val="0"/>
                      <w:sz w:val="26"/>
                      <w:szCs w:val="26"/>
                      <w:highlight w:val="yellow"/>
                      <w:lang w:val="en-US" w:eastAsia="zh-CN" w:bidi="ar"/>
                    </w:rPr>
                    <w:t>20</w:t>
                  </w:r>
                </w:p>
              </w:tc>
              <w:tc>
                <w:tcPr>
                  <w:tcW w:w="6506" w:type="dxa"/>
                  <w:noWrap w:val="0"/>
                  <w:vAlign w:val="center"/>
                </w:tcPr>
                <w:p w14:paraId="3960D818">
                  <w:pPr>
                    <w:keepNext w:val="0"/>
                    <w:keepLines w:val="0"/>
                    <w:pageBreakBefore w:val="0"/>
                    <w:widowControl/>
                    <w:kinsoku/>
                    <w:wordWrap/>
                    <w:overflowPunct/>
                    <w:topLinePunct w:val="0"/>
                    <w:autoSpaceDE/>
                    <w:autoSpaceDN/>
                    <w:bidi w:val="0"/>
                    <w:adjustRightInd/>
                    <w:spacing w:line="460" w:lineRule="exact"/>
                    <w:jc w:val="left"/>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sz w:val="26"/>
                      <w:szCs w:val="26"/>
                    </w:rPr>
                    <w:t>三个月正常运行后付清余款</w:t>
                  </w:r>
                </w:p>
              </w:tc>
            </w:tr>
          </w:tbl>
          <w:p w14:paraId="07635B45">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val="0"/>
                <w:bCs/>
                <w:sz w:val="26"/>
                <w:szCs w:val="26"/>
              </w:rPr>
            </w:pPr>
            <w:r>
              <w:rPr>
                <w:rFonts w:hint="eastAsia" w:ascii="仿宋_GB2312" w:hAnsi="仿宋_GB2312" w:eastAsia="仿宋_GB2312" w:cs="仿宋_GB2312"/>
                <w:b/>
                <w:bCs w:val="0"/>
                <w:sz w:val="26"/>
                <w:szCs w:val="26"/>
                <w:lang w:val="en-US" w:eastAsia="zh-CN"/>
              </w:rPr>
              <w:t>8.</w:t>
            </w:r>
            <w:r>
              <w:rPr>
                <w:rFonts w:hint="eastAsia" w:ascii="仿宋_GB2312" w:hAnsi="仿宋_GB2312" w:eastAsia="仿宋_GB2312" w:cs="仿宋_GB2312"/>
                <w:b/>
                <w:bCs w:val="0"/>
                <w:sz w:val="26"/>
                <w:szCs w:val="26"/>
              </w:rPr>
              <w:t>安装、调试要求</w:t>
            </w:r>
          </w:p>
          <w:p w14:paraId="0F45D98B">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
                <w:sz w:val="26"/>
                <w:szCs w:val="26"/>
              </w:rPr>
            </w:pPr>
            <w:r>
              <w:rPr>
                <w:rFonts w:hint="eastAsia" w:ascii="仿宋_GB2312" w:hAnsi="仿宋_GB2312" w:eastAsia="仿宋_GB2312" w:cs="仿宋_GB2312"/>
                <w:color w:val="FF0000"/>
                <w:sz w:val="26"/>
                <w:szCs w:val="26"/>
              </w:rPr>
              <w:t>（注：以下</w:t>
            </w:r>
            <w:r>
              <w:rPr>
                <w:rFonts w:hint="eastAsia" w:ascii="仿宋_GB2312" w:hAnsi="仿宋_GB2312" w:eastAsia="仿宋_GB2312" w:cs="仿宋_GB2312"/>
                <w:color w:val="FF0000"/>
                <w:sz w:val="26"/>
                <w:szCs w:val="26"/>
                <w:lang w:val="en-US" w:eastAsia="zh-CN"/>
              </w:rPr>
              <w:t>为举例</w:t>
            </w:r>
            <w:r>
              <w:rPr>
                <w:rFonts w:hint="eastAsia" w:ascii="仿宋_GB2312" w:hAnsi="仿宋_GB2312" w:eastAsia="仿宋_GB2312" w:cs="仿宋_GB2312"/>
                <w:color w:val="FF0000"/>
                <w:sz w:val="26"/>
                <w:szCs w:val="26"/>
              </w:rPr>
              <w:t>参考，可根据项目实际</w:t>
            </w:r>
            <w:r>
              <w:rPr>
                <w:rFonts w:hint="eastAsia" w:ascii="仿宋_GB2312" w:hAnsi="仿宋_GB2312" w:eastAsia="仿宋_GB2312" w:cs="仿宋_GB2312"/>
                <w:color w:val="FF0000"/>
                <w:sz w:val="26"/>
                <w:szCs w:val="26"/>
                <w:lang w:val="en-US" w:eastAsia="zh-CN"/>
              </w:rPr>
              <w:t>自行</w:t>
            </w:r>
            <w:r>
              <w:rPr>
                <w:rFonts w:hint="eastAsia" w:ascii="仿宋_GB2312" w:hAnsi="仿宋_GB2312" w:eastAsia="仿宋_GB2312" w:cs="仿宋_GB2312"/>
                <w:color w:val="FF0000"/>
                <w:sz w:val="26"/>
                <w:szCs w:val="26"/>
              </w:rPr>
              <w:t>修改）</w:t>
            </w:r>
          </w:p>
          <w:p w14:paraId="07D383C9">
            <w:pPr>
              <w:pStyle w:val="17"/>
              <w:keepNext w:val="0"/>
              <w:keepLines w:val="0"/>
              <w:pageBreakBefore w:val="0"/>
              <w:kinsoku/>
              <w:wordWrap/>
              <w:overflowPunct/>
              <w:topLinePunct w:val="0"/>
              <w:autoSpaceDE/>
              <w:autoSpaceDN/>
              <w:bidi w:val="0"/>
              <w:adjustRightInd/>
              <w:spacing w:line="300" w:lineRule="auto"/>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8.1</w:t>
            </w:r>
            <w:r>
              <w:rPr>
                <w:rFonts w:hint="eastAsia" w:ascii="仿宋_GB2312" w:hAnsi="仿宋_GB2312" w:eastAsia="仿宋_GB2312" w:cs="仿宋_GB2312"/>
                <w:sz w:val="26"/>
                <w:szCs w:val="26"/>
              </w:rPr>
              <w:t>中标人在货物安装前可派员进行实地勘察，确保顺利安装与运行维护，并在货物运抵现场一周前，向采购人提供详细的安装要求。</w:t>
            </w:r>
          </w:p>
          <w:p w14:paraId="60013195">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8.2</w:t>
            </w:r>
            <w:r>
              <w:rPr>
                <w:rFonts w:hint="eastAsia" w:ascii="仿宋_GB2312" w:hAnsi="仿宋_GB2312" w:eastAsia="仿宋_GB2312" w:cs="仿宋_GB2312"/>
                <w:sz w:val="26"/>
                <w:szCs w:val="26"/>
              </w:rPr>
              <w:t>中标人负责运输费用，中标人负责派技术人员到现场进行安装、调试，直至验收合格。</w:t>
            </w:r>
          </w:p>
          <w:p w14:paraId="44F0469F">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8.3</w:t>
            </w:r>
            <w:r>
              <w:rPr>
                <w:rFonts w:hint="eastAsia" w:ascii="仿宋_GB2312" w:hAnsi="仿宋_GB2312" w:eastAsia="仿宋_GB2312" w:cs="仿宋_GB2312"/>
                <w:sz w:val="26"/>
                <w:szCs w:val="26"/>
              </w:rPr>
              <w:t>中标人负责组织专业技术人员进行货物安装、调试并免费提供免费培训和技术服务，保证使用单位使用人员能够熟练操作设备。采购人提供必须的基本条件和专人配合，保证各项安装工作顺利进行。</w:t>
            </w:r>
          </w:p>
          <w:p w14:paraId="12E7E284">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8.4</w:t>
            </w:r>
            <w:r>
              <w:rPr>
                <w:rFonts w:hint="eastAsia" w:ascii="仿宋_GB2312" w:hAnsi="仿宋_GB2312" w:eastAsia="仿宋_GB2312" w:cs="仿宋_GB2312"/>
                <w:sz w:val="26"/>
                <w:szCs w:val="26"/>
              </w:rPr>
              <w:t>中标人所投产品为正规合格产品，所有产</w:t>
            </w:r>
            <w:r>
              <w:rPr>
                <w:rFonts w:hint="eastAsia" w:ascii="仿宋_GB2312" w:hAnsi="仿宋_GB2312" w:eastAsia="仿宋_GB2312" w:cs="仿宋_GB2312"/>
                <w:color w:val="auto"/>
                <w:sz w:val="26"/>
                <w:szCs w:val="26"/>
              </w:rPr>
              <w:t>品均为全新原厂原包装，设备的制造标准及技术规范等有关资料必须符合国家相关标准、规范要求。</w:t>
            </w:r>
            <w:r>
              <w:rPr>
                <w:rFonts w:hint="eastAsia" w:ascii="仿宋_GB2312" w:hAnsi="仿宋_GB2312" w:eastAsia="仿宋_GB2312" w:cs="仿宋_GB2312"/>
                <w:sz w:val="26"/>
                <w:szCs w:val="26"/>
              </w:rPr>
              <w:t>中标人应把原厂、原包装的配件送到协和学院确认后，才可进行安装、调试。</w:t>
            </w:r>
          </w:p>
          <w:p w14:paraId="009F4706">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8.5</w:t>
            </w:r>
            <w:r>
              <w:rPr>
                <w:rFonts w:hint="eastAsia" w:ascii="仿宋_GB2312" w:hAnsi="仿宋_GB2312" w:eastAsia="仿宋_GB2312" w:cs="仿宋_GB2312"/>
                <w:sz w:val="26"/>
                <w:szCs w:val="26"/>
              </w:rPr>
              <w:t>安装调试到位后的设备由中标人及用户共同进行质量验收签字。</w:t>
            </w:r>
          </w:p>
          <w:p w14:paraId="0563CE88">
            <w:pPr>
              <w:pStyle w:val="17"/>
              <w:keepNext w:val="0"/>
              <w:keepLines w:val="0"/>
              <w:pageBreakBefore w:val="0"/>
              <w:kinsoku/>
              <w:wordWrap/>
              <w:overflowPunct/>
              <w:topLinePunct w:val="0"/>
              <w:autoSpaceDE/>
              <w:autoSpaceDN/>
              <w:bidi w:val="0"/>
              <w:adjustRightInd/>
              <w:spacing w:line="460" w:lineRule="exact"/>
              <w:ind w:firstLine="480"/>
              <w:rPr>
                <w:rFonts w:hint="default" w:ascii="仿宋_GB2312" w:hAnsi="仿宋_GB2312" w:eastAsia="仿宋_GB2312" w:cs="仿宋_GB2312"/>
                <w:sz w:val="26"/>
                <w:szCs w:val="26"/>
                <w:lang w:val="en-US" w:eastAsia="zh-CN"/>
              </w:rPr>
            </w:pPr>
            <w:r>
              <w:rPr>
                <w:rFonts w:hint="eastAsia" w:ascii="仿宋_GB2312" w:hAnsi="仿宋_GB2312" w:eastAsia="仿宋_GB2312" w:cs="仿宋_GB2312"/>
                <w:sz w:val="26"/>
                <w:szCs w:val="26"/>
                <w:lang w:val="en-US" w:eastAsia="zh-CN"/>
              </w:rPr>
              <w:t>8.6</w:t>
            </w:r>
            <w:r>
              <w:rPr>
                <w:rFonts w:hint="eastAsia" w:ascii="仿宋_GB2312" w:hAnsi="仿宋_GB2312" w:eastAsia="仿宋_GB2312" w:cs="仿宋_GB2312"/>
                <w:sz w:val="26"/>
                <w:szCs w:val="26"/>
              </w:rPr>
              <w:t>设备验收前，中标人须提供完整的技术资料（</w:t>
            </w:r>
            <w:r>
              <w:rPr>
                <w:rFonts w:hint="eastAsia" w:ascii="仿宋_GB2312" w:hAnsi="仿宋_GB2312" w:eastAsia="仿宋_GB2312" w:cs="仿宋_GB2312"/>
                <w:sz w:val="26"/>
                <w:szCs w:val="26"/>
                <w:lang w:val="en-US" w:eastAsia="zh-CN"/>
              </w:rPr>
              <w:t>如</w:t>
            </w:r>
            <w:r>
              <w:rPr>
                <w:rFonts w:hint="eastAsia" w:ascii="仿宋_GB2312" w:hAnsi="仿宋_GB2312" w:eastAsia="仿宋_GB2312" w:cs="仿宋_GB2312"/>
                <w:sz w:val="26"/>
                <w:szCs w:val="26"/>
              </w:rPr>
              <w:t>产品说明书、用户手册、出厂明细</w:t>
            </w:r>
            <w:bookmarkStart w:id="2" w:name="_GoBack"/>
            <w:bookmarkEnd w:id="2"/>
            <w:r>
              <w:rPr>
                <w:rFonts w:hint="eastAsia" w:ascii="仿宋_GB2312" w:hAnsi="仿宋_GB2312" w:eastAsia="仿宋_GB2312" w:cs="仿宋_GB2312"/>
                <w:sz w:val="26"/>
                <w:szCs w:val="26"/>
              </w:rPr>
              <w:t>表或装箱单、制造厂质量合格证书</w:t>
            </w:r>
            <w:r>
              <w:rPr>
                <w:rFonts w:hint="eastAsia" w:ascii="仿宋_GB2312" w:hAnsi="仿宋_GB2312" w:eastAsia="仿宋_GB2312" w:cs="仿宋_GB2312"/>
                <w:sz w:val="26"/>
                <w:szCs w:val="26"/>
                <w:lang w:val="en-US" w:eastAsia="zh-CN"/>
              </w:rPr>
              <w:t>等</w:t>
            </w:r>
            <w:r>
              <w:rPr>
                <w:rFonts w:hint="eastAsia" w:ascii="仿宋_GB2312" w:hAnsi="仿宋_GB2312" w:eastAsia="仿宋_GB2312" w:cs="仿宋_GB2312"/>
                <w:sz w:val="26"/>
                <w:szCs w:val="26"/>
              </w:rPr>
              <w:t>相关文件资料）。</w:t>
            </w:r>
            <w:r>
              <w:rPr>
                <w:rFonts w:hint="eastAsia" w:ascii="仿宋_GB2312" w:hAnsi="仿宋_GB2312" w:eastAsia="仿宋_GB2312" w:cs="仿宋_GB2312"/>
                <w:color w:val="FF0000"/>
                <w:sz w:val="26"/>
                <w:szCs w:val="26"/>
                <w:lang w:val="en-US" w:eastAsia="zh-CN"/>
              </w:rPr>
              <w:t>注：括号内为常见举例，采购单位应根据实际情况调整括号内容。</w:t>
            </w:r>
          </w:p>
          <w:p w14:paraId="041780D1">
            <w:pPr>
              <w:pStyle w:val="17"/>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8.7</w:t>
            </w:r>
            <w:r>
              <w:rPr>
                <w:rFonts w:hint="eastAsia" w:ascii="仿宋_GB2312" w:hAnsi="仿宋_GB2312" w:eastAsia="仿宋_GB2312" w:cs="仿宋_GB2312"/>
                <w:sz w:val="26"/>
                <w:szCs w:val="26"/>
              </w:rPr>
              <w:t>中标人在采购人现场安装至最终验收所发生的一切费用均包含在报价中。</w:t>
            </w:r>
          </w:p>
          <w:p w14:paraId="03CC5415">
            <w:pPr>
              <w:pStyle w:val="17"/>
              <w:pageBreakBefore w:val="0"/>
              <w:kinsoku/>
              <w:wordWrap/>
              <w:overflowPunct/>
              <w:topLinePunct w:val="0"/>
              <w:bidi w:val="0"/>
              <w:spacing w:line="460" w:lineRule="exact"/>
              <w:rPr>
                <w:rFonts w:hint="eastAsia" w:ascii="仿宋_GB2312" w:hAnsi="仿宋_GB2312" w:eastAsia="仿宋_GB2312" w:cs="仿宋_GB2312"/>
                <w:color w:val="000000"/>
                <w:sz w:val="26"/>
                <w:szCs w:val="26"/>
              </w:rPr>
            </w:pPr>
            <w:r>
              <w:rPr>
                <w:rFonts w:hint="eastAsia" w:ascii="仿宋_GB2312" w:hAnsi="仿宋_GB2312" w:eastAsia="仿宋_GB2312" w:cs="仿宋_GB2312"/>
                <w:sz w:val="26"/>
                <w:szCs w:val="26"/>
                <w:lang w:val="en-US" w:eastAsia="zh-CN"/>
              </w:rPr>
              <w:t>8.8</w:t>
            </w:r>
            <w:r>
              <w:rPr>
                <w:rFonts w:hint="eastAsia" w:ascii="仿宋_GB2312" w:hAnsi="仿宋_GB2312" w:eastAsia="仿宋_GB2312" w:cs="仿宋_GB2312"/>
                <w:color w:val="000000"/>
                <w:sz w:val="26"/>
                <w:szCs w:val="26"/>
                <w:lang w:val="en-US"/>
              </w:rPr>
              <w:t>中标人必须加强制作、运输及安装施工过程中的安全防护，在此过程中，如因中标人原因导致的双方及第三方的任何人身、安全事故及财产损失均由中标人负全责。</w:t>
            </w:r>
          </w:p>
          <w:p w14:paraId="2405C72B">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color w:val="FF0000"/>
                <w:sz w:val="26"/>
                <w:szCs w:val="26"/>
              </w:rPr>
            </w:pPr>
            <w:r>
              <w:rPr>
                <w:rFonts w:hint="eastAsia" w:ascii="仿宋_GB2312" w:hAnsi="仿宋_GB2312" w:eastAsia="仿宋_GB2312" w:cs="仿宋_GB2312"/>
                <w:b/>
                <w:bCs w:val="0"/>
                <w:sz w:val="26"/>
                <w:szCs w:val="26"/>
                <w:lang w:val="en-US" w:eastAsia="zh-CN"/>
              </w:rPr>
              <w:t>9.</w:t>
            </w:r>
            <w:r>
              <w:rPr>
                <w:rFonts w:hint="eastAsia" w:ascii="仿宋_GB2312" w:hAnsi="仿宋_GB2312" w:eastAsia="仿宋_GB2312" w:cs="仿宋_GB2312"/>
                <w:b/>
                <w:bCs w:val="0"/>
                <w:sz w:val="26"/>
                <w:szCs w:val="26"/>
              </w:rPr>
              <w:t>质保</w:t>
            </w:r>
            <w:r>
              <w:rPr>
                <w:rFonts w:hint="eastAsia" w:ascii="仿宋_GB2312" w:hAnsi="仿宋_GB2312" w:eastAsia="仿宋_GB2312" w:cs="仿宋_GB2312"/>
                <w:b/>
                <w:bCs w:val="0"/>
                <w:sz w:val="26"/>
                <w:szCs w:val="26"/>
                <w:lang w:val="en-US" w:eastAsia="zh-CN"/>
              </w:rPr>
              <w:t>服务及保修承诺要求</w:t>
            </w:r>
            <w:r>
              <w:rPr>
                <w:rFonts w:hint="eastAsia" w:ascii="仿宋_GB2312" w:hAnsi="仿宋_GB2312" w:eastAsia="仿宋_GB2312" w:cs="仿宋_GB2312"/>
                <w:bCs/>
                <w:color w:val="FF0000"/>
                <w:sz w:val="26"/>
                <w:szCs w:val="26"/>
                <w:lang w:val="en-US" w:eastAsia="zh-CN"/>
              </w:rPr>
              <w:t>（以下为举例参考，可根据项目实际自行修改，</w:t>
            </w:r>
            <w:r>
              <w:rPr>
                <w:rFonts w:hint="eastAsia" w:ascii="仿宋_GB2312" w:hAnsi="仿宋_GB2312" w:eastAsia="仿宋_GB2312" w:cs="仿宋_GB2312"/>
                <w:bCs/>
                <w:color w:val="FF0000"/>
                <w:sz w:val="26"/>
                <w:szCs w:val="26"/>
              </w:rPr>
              <w:t>多品目质保期不同，分别列明）</w:t>
            </w:r>
          </w:p>
          <w:p w14:paraId="2427B27E">
            <w:pPr>
              <w:pStyle w:val="19"/>
              <w:keepNext w:val="0"/>
              <w:keepLines w:val="0"/>
              <w:pageBreakBefore w:val="0"/>
              <w:widowControl/>
              <w:kinsoku/>
              <w:wordWrap/>
              <w:overflowPunct/>
              <w:topLinePunct w:val="0"/>
              <w:autoSpaceDE/>
              <w:autoSpaceDN/>
              <w:bidi w:val="0"/>
              <w:adjustRightInd/>
              <w:snapToGrid/>
              <w:spacing w:line="480" w:lineRule="exact"/>
              <w:ind w:firstLine="520" w:firstLineChars="200"/>
              <w:textAlignment w:val="auto"/>
              <w:rPr>
                <w:rFonts w:ascii="仿宋_GB2312" w:hAnsi="仿宋_GB2312" w:eastAsia="仿宋_GB2312" w:cs="仿宋_GB2312"/>
                <w:bCs/>
                <w:kern w:val="2"/>
                <w:sz w:val="26"/>
                <w:szCs w:val="26"/>
                <w:highlight w:val="none"/>
                <w:shd w:val="clear" w:color="auto" w:fill="auto"/>
                <w:lang w:eastAsia="zh-CN"/>
              </w:rPr>
            </w:pPr>
            <w:r>
              <w:rPr>
                <w:rFonts w:hint="eastAsia" w:ascii="仿宋_GB2312" w:hAnsi="仿宋_GB2312" w:eastAsia="仿宋_GB2312" w:cs="仿宋_GB2312"/>
                <w:bCs/>
                <w:sz w:val="26"/>
                <w:szCs w:val="26"/>
                <w:highlight w:val="none"/>
                <w:lang w:val="en-US" w:eastAsia="zh-CN"/>
              </w:rPr>
              <w:t>9</w:t>
            </w:r>
            <w:r>
              <w:rPr>
                <w:rFonts w:hint="eastAsia" w:ascii="仿宋_GB2312" w:hAnsi="仿宋_GB2312" w:eastAsia="仿宋_GB2312" w:cs="仿宋_GB2312"/>
                <w:bCs/>
                <w:sz w:val="26"/>
                <w:szCs w:val="26"/>
                <w:highlight w:val="none"/>
              </w:rPr>
              <w:t>.1</w:t>
            </w:r>
            <w:r>
              <w:rPr>
                <w:rFonts w:hint="eastAsia" w:ascii="仿宋_GB2312" w:hAnsi="仿宋_GB2312" w:eastAsia="仿宋_GB2312" w:cs="仿宋_GB2312"/>
                <w:bCs/>
                <w:kern w:val="2"/>
                <w:sz w:val="26"/>
                <w:szCs w:val="26"/>
                <w:highlight w:val="none"/>
                <w:lang w:val="en-US" w:eastAsia="zh-CN"/>
              </w:rPr>
              <w:t>质保期</w:t>
            </w:r>
            <w:r>
              <w:rPr>
                <w:rFonts w:hint="eastAsia" w:ascii="仿宋_GB2312" w:hAnsi="仿宋_GB2312" w:eastAsia="仿宋_GB2312" w:cs="仿宋_GB2312"/>
                <w:bCs/>
                <w:kern w:val="2"/>
                <w:sz w:val="26"/>
                <w:szCs w:val="26"/>
                <w:highlight w:val="none"/>
                <w:lang w:eastAsia="zh-CN"/>
              </w:rPr>
              <w:t>：</w:t>
            </w:r>
            <w:r>
              <w:rPr>
                <w:rStyle w:val="10"/>
                <w:rFonts w:ascii="仿宋_GB2312" w:hAnsi="仿宋_GB2312" w:eastAsia="仿宋_GB2312" w:cs="仿宋_GB2312"/>
                <w:b w:val="0"/>
                <w:bCs/>
                <w:color w:val="000000"/>
                <w:kern w:val="2"/>
                <w:sz w:val="26"/>
                <w:szCs w:val="26"/>
                <w:highlight w:val="none"/>
                <w:lang w:eastAsia="zh-CN"/>
              </w:rPr>
              <w:t>所有产品需原厂原包装，</w:t>
            </w:r>
            <w:r>
              <w:rPr>
                <w:rFonts w:ascii="仿宋_GB2312" w:hAnsi="仿宋_GB2312" w:eastAsia="仿宋_GB2312" w:cs="仿宋_GB2312"/>
                <w:bCs/>
                <w:kern w:val="2"/>
                <w:sz w:val="26"/>
                <w:szCs w:val="26"/>
                <w:highlight w:val="none"/>
                <w:shd w:val="clear" w:color="auto" w:fill="auto"/>
                <w:lang w:eastAsia="zh-CN"/>
              </w:rPr>
              <w:t>供应商向采购人提供</w:t>
            </w:r>
            <w:r>
              <w:rPr>
                <w:rFonts w:hint="eastAsia" w:ascii="仿宋_GB2312" w:hAnsi="仿宋_GB2312" w:eastAsia="仿宋_GB2312" w:cs="仿宋_GB2312"/>
                <w:bCs/>
                <w:kern w:val="2"/>
                <w:sz w:val="26"/>
                <w:szCs w:val="26"/>
                <w:highlight w:val="none"/>
                <w:shd w:val="clear"/>
                <w:lang w:val="en-US" w:eastAsia="zh-CN"/>
              </w:rPr>
              <w:t>不少于</w:t>
            </w:r>
            <w:r>
              <w:rPr>
                <w:rFonts w:hint="eastAsia" w:ascii="仿宋_GB2312" w:hAnsi="仿宋_GB2312" w:eastAsia="仿宋_GB2312" w:cs="仿宋_GB2312"/>
                <w:bCs/>
                <w:kern w:val="2"/>
                <w:sz w:val="26"/>
                <w:szCs w:val="26"/>
                <w:highlight w:val="none"/>
                <w:shd w:val="clear"/>
                <w:lang w:eastAsia="zh-CN"/>
              </w:rPr>
              <w:t>X</w:t>
            </w:r>
            <w:r>
              <w:rPr>
                <w:rFonts w:ascii="仿宋_GB2312" w:hAnsi="仿宋_GB2312" w:eastAsia="仿宋_GB2312" w:cs="仿宋_GB2312"/>
                <w:bCs/>
                <w:kern w:val="2"/>
                <w:sz w:val="26"/>
                <w:szCs w:val="26"/>
                <w:highlight w:val="none"/>
                <w:shd w:val="clear" w:color="auto" w:fill="auto"/>
                <w:lang w:eastAsia="zh-CN"/>
              </w:rPr>
              <w:t>年免费质保服务，</w:t>
            </w:r>
            <w:r>
              <w:rPr>
                <w:rStyle w:val="10"/>
                <w:rFonts w:ascii="仿宋_GB2312" w:hAnsi="仿宋_GB2312" w:eastAsia="仿宋_GB2312" w:cs="仿宋_GB2312"/>
                <w:b w:val="0"/>
                <w:bCs/>
                <w:color w:val="000000"/>
                <w:kern w:val="2"/>
                <w:sz w:val="26"/>
                <w:szCs w:val="26"/>
                <w:highlight w:val="none"/>
                <w:lang w:eastAsia="zh-CN"/>
              </w:rPr>
              <w:t>质保期自验收合格之日起计算，</w:t>
            </w:r>
            <w:r>
              <w:rPr>
                <w:rFonts w:ascii="仿宋_GB2312" w:hAnsi="仿宋_GB2312" w:eastAsia="仿宋_GB2312" w:cs="仿宋_GB2312"/>
                <w:bCs/>
                <w:kern w:val="2"/>
                <w:sz w:val="26"/>
                <w:szCs w:val="26"/>
                <w:highlight w:val="none"/>
                <w:shd w:val="clear" w:color="auto" w:fill="auto"/>
                <w:lang w:eastAsia="zh-CN"/>
              </w:rPr>
              <w:t>质保期内</w:t>
            </w:r>
            <w:r>
              <w:rPr>
                <w:rFonts w:ascii="仿宋_GB2312" w:hAnsi="仿宋_GB2312" w:eastAsia="仿宋_GB2312" w:cs="仿宋_GB2312"/>
                <w:bCs/>
                <w:kern w:val="2"/>
                <w:sz w:val="26"/>
                <w:szCs w:val="26"/>
                <w:highlight w:val="none"/>
                <w:lang w:eastAsia="zh-CN"/>
              </w:rPr>
              <w:t>中标人须免费</w:t>
            </w:r>
            <w:r>
              <w:rPr>
                <w:rFonts w:ascii="仿宋_GB2312" w:hAnsi="仿宋_GB2312" w:eastAsia="仿宋_GB2312" w:cs="仿宋_GB2312"/>
                <w:bCs/>
                <w:kern w:val="2"/>
                <w:sz w:val="26"/>
                <w:szCs w:val="26"/>
                <w:highlight w:val="none"/>
                <w:shd w:val="clear" w:color="auto" w:fill="auto"/>
                <w:lang w:eastAsia="zh-CN"/>
              </w:rPr>
              <w:t>提供</w:t>
            </w:r>
            <w:r>
              <w:rPr>
                <w:rFonts w:hint="eastAsia" w:ascii="仿宋_GB2312" w:hAnsi="仿宋_GB2312" w:eastAsia="仿宋_GB2312" w:cs="仿宋_GB2312"/>
                <w:bCs/>
                <w:kern w:val="2"/>
                <w:sz w:val="26"/>
                <w:szCs w:val="26"/>
                <w:highlight w:val="none"/>
                <w:shd w:val="clear"/>
                <w:lang w:val="en-US" w:eastAsia="zh-CN"/>
              </w:rPr>
              <w:t>采购产品的</w:t>
            </w:r>
            <w:r>
              <w:rPr>
                <w:rFonts w:ascii="仿宋_GB2312" w:hAnsi="仿宋_GB2312" w:eastAsia="仿宋_GB2312" w:cs="仿宋_GB2312"/>
                <w:bCs/>
                <w:kern w:val="2"/>
                <w:sz w:val="26"/>
                <w:szCs w:val="26"/>
                <w:highlight w:val="none"/>
                <w:shd w:val="clear" w:color="auto" w:fill="auto"/>
                <w:lang w:eastAsia="zh-CN"/>
              </w:rPr>
              <w:t>维护升级</w:t>
            </w:r>
            <w:r>
              <w:rPr>
                <w:rFonts w:hint="eastAsia" w:ascii="仿宋_GB2312" w:hAnsi="仿宋_GB2312" w:eastAsia="仿宋_GB2312" w:cs="仿宋_GB2312"/>
                <w:bCs/>
                <w:sz w:val="26"/>
                <w:szCs w:val="26"/>
                <w:highlight w:val="none"/>
              </w:rPr>
              <w:t>（含跨版本升级）</w:t>
            </w:r>
            <w:r>
              <w:rPr>
                <w:rFonts w:hint="eastAsia" w:ascii="仿宋_GB2312" w:hAnsi="仿宋_GB2312" w:eastAsia="仿宋_GB2312" w:cs="仿宋_GB2312"/>
                <w:bCs/>
                <w:kern w:val="2"/>
                <w:sz w:val="26"/>
                <w:szCs w:val="26"/>
                <w:highlight w:val="none"/>
                <w:lang w:eastAsia="zh-CN"/>
              </w:rPr>
              <w:t>，</w:t>
            </w:r>
            <w:r>
              <w:rPr>
                <w:rFonts w:ascii="仿宋_GB2312" w:hAnsi="仿宋_GB2312" w:eastAsia="仿宋_GB2312" w:cs="仿宋_GB2312"/>
                <w:bCs/>
                <w:kern w:val="2"/>
                <w:sz w:val="26"/>
                <w:szCs w:val="26"/>
                <w:highlight w:val="none"/>
                <w:lang w:eastAsia="zh-CN"/>
              </w:rPr>
              <w:t>平台内所有的数据更新</w:t>
            </w:r>
            <w:r>
              <w:rPr>
                <w:rFonts w:ascii="仿宋_GB2312" w:hAnsi="仿宋_GB2312" w:eastAsia="仿宋_GB2312" w:cs="仿宋_GB2312"/>
                <w:bCs/>
                <w:kern w:val="2"/>
                <w:sz w:val="26"/>
                <w:szCs w:val="26"/>
                <w:highlight w:val="none"/>
                <w:shd w:val="clear" w:color="auto" w:fill="auto"/>
                <w:lang w:eastAsia="zh-CN"/>
              </w:rPr>
              <w:t>及上门保修服务，不收取任何费用。</w:t>
            </w:r>
            <w:r>
              <w:rPr>
                <w:rStyle w:val="10"/>
                <w:rFonts w:ascii="仿宋_GB2312" w:hAnsi="仿宋_GB2312" w:eastAsia="仿宋_GB2312" w:cs="仿宋_GB2312"/>
                <w:b w:val="0"/>
                <w:bCs/>
                <w:kern w:val="2"/>
                <w:sz w:val="26"/>
                <w:szCs w:val="26"/>
                <w:highlight w:val="none"/>
                <w:lang w:eastAsia="zh-CN"/>
              </w:rPr>
              <w:t>免费范围</w:t>
            </w:r>
            <w:r>
              <w:rPr>
                <w:rStyle w:val="10"/>
                <w:rFonts w:hint="eastAsia" w:ascii="仿宋_GB2312" w:hAnsi="仿宋_GB2312" w:eastAsia="仿宋_GB2312" w:cs="仿宋_GB2312"/>
                <w:b w:val="0"/>
                <w:bCs/>
                <w:kern w:val="2"/>
                <w:sz w:val="26"/>
                <w:szCs w:val="26"/>
                <w:highlight w:val="none"/>
                <w:lang w:eastAsia="zh-CN"/>
              </w:rPr>
              <w:t>还</w:t>
            </w:r>
            <w:r>
              <w:rPr>
                <w:rStyle w:val="10"/>
                <w:rFonts w:ascii="仿宋_GB2312" w:hAnsi="仿宋_GB2312" w:eastAsia="仿宋_GB2312" w:cs="仿宋_GB2312"/>
                <w:b w:val="0"/>
                <w:bCs/>
                <w:kern w:val="2"/>
                <w:sz w:val="26"/>
                <w:szCs w:val="26"/>
                <w:highlight w:val="none"/>
                <w:lang w:eastAsia="zh-CN"/>
              </w:rPr>
              <w:t>包括</w:t>
            </w:r>
            <w:r>
              <w:rPr>
                <w:rStyle w:val="10"/>
                <w:rFonts w:hint="eastAsia" w:ascii="仿宋_GB2312" w:hAnsi="仿宋_GB2312" w:eastAsia="仿宋_GB2312" w:cs="仿宋_GB2312"/>
                <w:b w:val="0"/>
                <w:bCs/>
                <w:kern w:val="2"/>
                <w:sz w:val="26"/>
                <w:szCs w:val="26"/>
                <w:highlight w:val="none"/>
                <w:lang w:eastAsia="zh-CN"/>
              </w:rPr>
              <w:t>服务支持</w:t>
            </w:r>
            <w:r>
              <w:rPr>
                <w:rStyle w:val="10"/>
                <w:rFonts w:ascii="仿宋_GB2312" w:hAnsi="仿宋_GB2312" w:eastAsia="仿宋_GB2312" w:cs="仿宋_GB2312"/>
                <w:b w:val="0"/>
                <w:bCs/>
                <w:kern w:val="2"/>
                <w:sz w:val="26"/>
                <w:szCs w:val="26"/>
                <w:highlight w:val="none"/>
                <w:lang w:eastAsia="zh-CN"/>
              </w:rPr>
              <w:t>所需的人工费、交通费等所有维修费用。</w:t>
            </w:r>
          </w:p>
          <w:p w14:paraId="1794B638">
            <w:pPr>
              <w:spacing w:line="480" w:lineRule="exact"/>
              <w:ind w:firstLine="520" w:firstLineChars="200"/>
              <w:jc w:val="left"/>
              <w:rPr>
                <w:rStyle w:val="10"/>
                <w:rFonts w:hint="eastAsia" w:ascii="仿宋_GB2312" w:hAnsi="仿宋_GB2312" w:eastAsia="仿宋_GB2312" w:cs="仿宋_GB2312"/>
                <w:b w:val="0"/>
                <w:bCs/>
                <w:kern w:val="2"/>
                <w:sz w:val="26"/>
                <w:szCs w:val="26"/>
                <w:highlight w:val="none"/>
              </w:rPr>
            </w:pPr>
            <w:r>
              <w:rPr>
                <w:rFonts w:hint="eastAsia" w:ascii="仿宋_GB2312" w:hAnsi="仿宋_GB2312" w:eastAsia="仿宋_GB2312" w:cs="仿宋_GB2312"/>
                <w:bCs/>
                <w:sz w:val="26"/>
                <w:szCs w:val="26"/>
                <w:highlight w:val="none"/>
                <w:lang w:val="en-US" w:eastAsia="zh-CN"/>
              </w:rPr>
              <w:t>9</w:t>
            </w:r>
            <w:r>
              <w:rPr>
                <w:rFonts w:hint="eastAsia" w:ascii="仿宋_GB2312" w:hAnsi="仿宋_GB2312" w:eastAsia="仿宋_GB2312" w:cs="仿宋_GB2312"/>
                <w:bCs/>
                <w:sz w:val="26"/>
                <w:szCs w:val="26"/>
                <w:highlight w:val="none"/>
              </w:rPr>
              <w:t>.2</w:t>
            </w:r>
            <w:r>
              <w:rPr>
                <w:rStyle w:val="10"/>
                <w:rFonts w:hint="eastAsia" w:ascii="仿宋_GB2312" w:hAnsi="仿宋_GB2312" w:eastAsia="仿宋_GB2312" w:cs="仿宋_GB2312"/>
                <w:b w:val="0"/>
                <w:bCs/>
                <w:kern w:val="2"/>
                <w:sz w:val="26"/>
                <w:szCs w:val="26"/>
                <w:highlight w:val="none"/>
              </w:rPr>
              <w:t>在质保期内设备若发生非人为故障，应免费上门检修维护。在接到采购人故障通知后应在3小时内作出电话响应，在2个工作日内给予解决方案并委派专业技术人员到达现场(逾期采购人有权另请他人维修，费用由中标人承担)，免费提供咨询、维修和更换零部件等服务，重大问题或其他较难解决的问题应在4个工作日内给予方案并解决，若在4个工作日内无法及时排除故障，应提供与该设备型号、规格及技术指标相一致的备品或更新的兼容产品以保证正常运行，如因供方原因不能及时修复，保修期将相应顺延。</w:t>
            </w:r>
          </w:p>
          <w:p w14:paraId="0045BA9E">
            <w:pPr>
              <w:spacing w:line="480" w:lineRule="exact"/>
              <w:ind w:firstLine="520" w:firstLineChars="200"/>
              <w:jc w:val="left"/>
              <w:rPr>
                <w:rStyle w:val="10"/>
                <w:rFonts w:hint="eastAsia" w:ascii="仿宋_GB2312" w:hAnsi="仿宋_GB2312" w:eastAsia="仿宋_GB2312" w:cs="仿宋_GB2312"/>
                <w:b w:val="0"/>
                <w:bCs/>
                <w:kern w:val="2"/>
                <w:sz w:val="26"/>
                <w:szCs w:val="26"/>
                <w:highlight w:val="none"/>
              </w:rPr>
            </w:pPr>
            <w:r>
              <w:rPr>
                <w:rFonts w:hint="eastAsia" w:ascii="仿宋_GB2312" w:hAnsi="仿宋_GB2312" w:eastAsia="仿宋_GB2312" w:cs="仿宋_GB2312"/>
                <w:b w:val="0"/>
                <w:bCs/>
                <w:kern w:val="2"/>
                <w:sz w:val="26"/>
                <w:szCs w:val="26"/>
                <w:highlight w:val="none"/>
                <w:lang w:val="en-US" w:eastAsia="zh-CN"/>
              </w:rPr>
              <w:t>9.3</w:t>
            </w:r>
            <w:r>
              <w:rPr>
                <w:rStyle w:val="10"/>
                <w:rFonts w:hint="eastAsia" w:ascii="仿宋_GB2312" w:hAnsi="仿宋_GB2312" w:eastAsia="仿宋_GB2312" w:cs="仿宋_GB2312"/>
                <w:b w:val="0"/>
                <w:bCs/>
                <w:kern w:val="2"/>
                <w:sz w:val="26"/>
                <w:szCs w:val="26"/>
                <w:highlight w:val="none"/>
              </w:rPr>
              <w:t>在质保期内，提供安装、售后等相关的现场免费技术培训。</w:t>
            </w:r>
          </w:p>
          <w:p w14:paraId="0B0086D1">
            <w:pPr>
              <w:widowControl/>
              <w:spacing w:before="75" w:after="75" w:line="480" w:lineRule="exact"/>
              <w:ind w:firstLine="520" w:firstLineChars="200"/>
              <w:jc w:val="left"/>
              <w:rPr>
                <w:rStyle w:val="10"/>
                <w:rFonts w:hint="eastAsia" w:ascii="仿宋_GB2312" w:hAnsi="仿宋_GB2312" w:eastAsia="仿宋_GB2312" w:cs="仿宋_GB2312"/>
                <w:b w:val="0"/>
                <w:bCs/>
                <w:kern w:val="2"/>
                <w:sz w:val="26"/>
                <w:szCs w:val="26"/>
                <w:highlight w:val="none"/>
              </w:rPr>
            </w:pPr>
            <w:r>
              <w:rPr>
                <w:rFonts w:hint="eastAsia" w:ascii="仿宋_GB2312" w:hAnsi="仿宋_GB2312" w:eastAsia="仿宋_GB2312" w:cs="仿宋_GB2312"/>
                <w:b w:val="0"/>
                <w:bCs/>
                <w:kern w:val="2"/>
                <w:sz w:val="26"/>
                <w:szCs w:val="26"/>
                <w:highlight w:val="none"/>
                <w:lang w:val="en-US" w:eastAsia="zh-CN"/>
              </w:rPr>
              <w:t>9.4</w:t>
            </w:r>
            <w:r>
              <w:rPr>
                <w:rStyle w:val="10"/>
                <w:rFonts w:hint="eastAsia" w:ascii="仿宋_GB2312" w:hAnsi="仿宋_GB2312" w:eastAsia="仿宋_GB2312" w:cs="仿宋_GB2312"/>
                <w:b w:val="0"/>
                <w:bCs/>
                <w:kern w:val="2"/>
                <w:sz w:val="26"/>
                <w:szCs w:val="26"/>
                <w:highlight w:val="none"/>
              </w:rPr>
              <w:t>在质保期结束前1个月，需根据要求</w:t>
            </w:r>
            <w:r>
              <w:rPr>
                <w:rFonts w:hint="eastAsia" w:ascii="仿宋_GB2312" w:hAnsi="仿宋_GB2312" w:eastAsia="仿宋_GB2312" w:cs="仿宋_GB2312"/>
                <w:bCs/>
                <w:kern w:val="2"/>
                <w:sz w:val="26"/>
                <w:szCs w:val="26"/>
                <w:highlight w:val="none"/>
              </w:rPr>
              <w:t>将平台内软件模块功能升级到最新版本，同时</w:t>
            </w:r>
            <w:r>
              <w:rPr>
                <w:rStyle w:val="10"/>
                <w:rFonts w:hint="eastAsia" w:ascii="仿宋_GB2312" w:hAnsi="仿宋_GB2312" w:eastAsia="仿宋_GB2312" w:cs="仿宋_GB2312"/>
                <w:b w:val="0"/>
                <w:bCs/>
                <w:kern w:val="2"/>
                <w:sz w:val="26"/>
                <w:szCs w:val="26"/>
                <w:highlight w:val="none"/>
              </w:rPr>
              <w:t>对平台内的所有数据和支撑材料完整导出提交给采购人。</w:t>
            </w:r>
          </w:p>
          <w:p w14:paraId="038E6517">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sz w:val="26"/>
                <w:szCs w:val="26"/>
              </w:rPr>
            </w:pPr>
            <w:r>
              <w:rPr>
                <w:rFonts w:hint="eastAsia" w:ascii="仿宋_GB2312" w:hAnsi="仿宋_GB2312" w:eastAsia="仿宋_GB2312" w:cs="仿宋_GB2312"/>
                <w:b/>
                <w:bCs w:val="0"/>
                <w:sz w:val="26"/>
                <w:szCs w:val="26"/>
                <w:lang w:val="en-US" w:eastAsia="zh-CN"/>
              </w:rPr>
              <w:t>9.5</w:t>
            </w:r>
            <w:r>
              <w:rPr>
                <w:rFonts w:hint="eastAsia" w:ascii="仿宋_GB2312" w:hAnsi="仿宋_GB2312" w:eastAsia="仿宋_GB2312" w:cs="仿宋_GB2312"/>
                <w:b/>
                <w:bCs w:val="0"/>
                <w:sz w:val="26"/>
                <w:szCs w:val="26"/>
              </w:rPr>
              <w:t>质保期后：</w:t>
            </w:r>
            <w:r>
              <w:rPr>
                <w:rFonts w:hint="eastAsia" w:ascii="仿宋_GB2312" w:hAnsi="仿宋_GB2312" w:eastAsia="仿宋_GB2312" w:cs="仿宋_GB2312"/>
                <w:b w:val="0"/>
                <w:bCs/>
                <w:kern w:val="2"/>
                <w:sz w:val="26"/>
                <w:szCs w:val="26"/>
                <w:highlight w:val="none"/>
              </w:rPr>
              <w:t>质保期结束后，中标人仍应负责对平台继续提供使用和免费技术支持服务。</w:t>
            </w:r>
            <w:r>
              <w:rPr>
                <w:rFonts w:hint="eastAsia" w:ascii="仿宋_GB2312" w:hAnsi="仿宋_GB2312" w:eastAsia="仿宋_GB2312" w:cs="仿宋_GB2312"/>
                <w:bCs/>
                <w:color w:val="FF0000"/>
                <w:sz w:val="26"/>
                <w:szCs w:val="26"/>
              </w:rPr>
              <w:t>（若无其他要求，请删除此条目）</w:t>
            </w:r>
          </w:p>
          <w:p w14:paraId="15EFEB8A">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sz w:val="26"/>
                <w:szCs w:val="26"/>
              </w:rPr>
            </w:pPr>
            <w:r>
              <w:rPr>
                <w:rFonts w:hint="eastAsia" w:ascii="仿宋_GB2312" w:hAnsi="仿宋_GB2312" w:eastAsia="仿宋_GB2312" w:cs="仿宋_GB2312"/>
                <w:b/>
                <w:bCs/>
                <w:sz w:val="26"/>
                <w:szCs w:val="26"/>
                <w:lang w:val="en-US" w:eastAsia="zh-CN"/>
              </w:rPr>
              <w:t>10.</w:t>
            </w:r>
            <w:r>
              <w:rPr>
                <w:rFonts w:hint="eastAsia" w:ascii="仿宋_GB2312" w:hAnsi="仿宋_GB2312" w:eastAsia="仿宋_GB2312" w:cs="仿宋_GB2312"/>
                <w:b/>
                <w:bCs/>
                <w:sz w:val="26"/>
                <w:szCs w:val="26"/>
              </w:rPr>
              <w:t>违约责任</w:t>
            </w:r>
            <w:r>
              <w:rPr>
                <w:rFonts w:hint="eastAsia" w:ascii="仿宋_GB2312" w:hAnsi="仿宋_GB2312" w:eastAsia="仿宋_GB2312" w:cs="仿宋_GB2312"/>
                <w:sz w:val="26"/>
                <w:szCs w:val="26"/>
              </w:rPr>
              <w:t>（</w:t>
            </w:r>
            <w:r>
              <w:rPr>
                <w:rFonts w:hint="eastAsia" w:ascii="仿宋_GB2312" w:hAnsi="仿宋_GB2312" w:eastAsia="仿宋_GB2312" w:cs="仿宋_GB2312"/>
                <w:color w:val="FF0000"/>
                <w:sz w:val="26"/>
                <w:szCs w:val="26"/>
              </w:rPr>
              <w:t>以下</w:t>
            </w:r>
            <w:r>
              <w:rPr>
                <w:rFonts w:hint="eastAsia" w:ascii="仿宋_GB2312" w:hAnsi="仿宋_GB2312" w:eastAsia="仿宋_GB2312" w:cs="仿宋_GB2312"/>
                <w:color w:val="FF0000"/>
                <w:sz w:val="26"/>
                <w:szCs w:val="26"/>
                <w:lang w:val="en-US" w:eastAsia="zh-CN"/>
              </w:rPr>
              <w:t>为举例</w:t>
            </w:r>
            <w:r>
              <w:rPr>
                <w:rFonts w:hint="eastAsia" w:ascii="仿宋_GB2312" w:hAnsi="仿宋_GB2312" w:eastAsia="仿宋_GB2312" w:cs="仿宋_GB2312"/>
                <w:color w:val="FF0000"/>
                <w:sz w:val="26"/>
                <w:szCs w:val="26"/>
              </w:rPr>
              <w:t>参考，可根据项目实际</w:t>
            </w:r>
            <w:r>
              <w:rPr>
                <w:rFonts w:hint="eastAsia" w:ascii="仿宋_GB2312" w:hAnsi="仿宋_GB2312" w:eastAsia="仿宋_GB2312" w:cs="仿宋_GB2312"/>
                <w:color w:val="FF0000"/>
                <w:sz w:val="26"/>
                <w:szCs w:val="26"/>
                <w:lang w:val="en-US" w:eastAsia="zh-CN"/>
              </w:rPr>
              <w:t>自行修改</w:t>
            </w:r>
            <w:r>
              <w:rPr>
                <w:rFonts w:hint="eastAsia" w:ascii="仿宋_GB2312" w:hAnsi="仿宋_GB2312" w:eastAsia="仿宋_GB2312" w:cs="仿宋_GB2312"/>
                <w:sz w:val="26"/>
                <w:szCs w:val="26"/>
              </w:rPr>
              <w:t>）</w:t>
            </w:r>
          </w:p>
          <w:p w14:paraId="7BD806E2">
            <w:pPr>
              <w:pageBreakBefore w:val="0"/>
              <w:kinsoku/>
              <w:wordWrap/>
              <w:overflowPunct/>
              <w:topLinePunct w:val="0"/>
              <w:bidi w:val="0"/>
              <w:spacing w:line="460" w:lineRule="exact"/>
              <w:ind w:firstLine="520" w:firstLineChars="200"/>
              <w:jc w:val="left"/>
              <w:rPr>
                <w:rStyle w:val="10"/>
                <w:rFonts w:hint="eastAsia" w:ascii="仿宋_GB2312" w:hAnsi="仿宋_GB2312" w:eastAsia="仿宋_GB2312" w:cs="仿宋_GB2312"/>
                <w:b w:val="0"/>
                <w:color w:val="000000"/>
                <w:kern w:val="2"/>
                <w:sz w:val="26"/>
                <w:szCs w:val="26"/>
              </w:rPr>
            </w:pPr>
            <w:r>
              <w:rPr>
                <w:rFonts w:hint="eastAsia" w:ascii="仿宋_GB2312" w:hAnsi="仿宋_GB2312" w:eastAsia="仿宋_GB2312" w:cs="仿宋_GB2312"/>
                <w:sz w:val="26"/>
                <w:szCs w:val="26"/>
                <w:lang w:val="en-US" w:eastAsia="zh-CN"/>
              </w:rPr>
              <w:t>10.1</w:t>
            </w:r>
            <w:r>
              <w:rPr>
                <w:rStyle w:val="10"/>
                <w:rFonts w:hint="eastAsia" w:ascii="仿宋_GB2312" w:hAnsi="仿宋_GB2312" w:eastAsia="仿宋_GB2312" w:cs="仿宋_GB2312"/>
                <w:b w:val="0"/>
                <w:color w:val="000000"/>
                <w:kern w:val="2"/>
                <w:sz w:val="26"/>
                <w:szCs w:val="26"/>
              </w:rPr>
              <w:t>中标人不按时缴交履约保证金的，视为放弃中标，投标保证金不予退还，对采购人造成的损失的，采购人有权要求中标人另行支付相应的赔偿。</w:t>
            </w:r>
          </w:p>
          <w:p w14:paraId="593A8D4E">
            <w:pPr>
              <w:pageBreakBefore w:val="0"/>
              <w:kinsoku/>
              <w:wordWrap/>
              <w:overflowPunct/>
              <w:topLinePunct w:val="0"/>
              <w:bidi w:val="0"/>
              <w:spacing w:line="460" w:lineRule="exact"/>
              <w:ind w:firstLine="520" w:firstLineChars="200"/>
              <w:jc w:val="left"/>
              <w:rPr>
                <w:rStyle w:val="10"/>
                <w:rFonts w:hint="eastAsia" w:ascii="仿宋_GB2312" w:hAnsi="仿宋_GB2312" w:eastAsia="仿宋_GB2312" w:cs="仿宋_GB2312"/>
                <w:b w:val="0"/>
                <w:color w:val="000000"/>
                <w:kern w:val="2"/>
                <w:sz w:val="26"/>
                <w:szCs w:val="26"/>
              </w:rPr>
            </w:pPr>
            <w:r>
              <w:rPr>
                <w:rStyle w:val="10"/>
                <w:rFonts w:hint="eastAsia" w:ascii="仿宋_GB2312" w:hAnsi="仿宋_GB2312" w:eastAsia="仿宋_GB2312" w:cs="仿宋_GB2312"/>
                <w:b w:val="0"/>
                <w:color w:val="000000"/>
                <w:kern w:val="2"/>
                <w:sz w:val="26"/>
                <w:szCs w:val="26"/>
                <w:lang w:val="en-US" w:eastAsia="zh-CN"/>
              </w:rPr>
              <w:t>1</w:t>
            </w:r>
            <w:r>
              <w:rPr>
                <w:rStyle w:val="10"/>
                <w:rFonts w:hint="eastAsia" w:ascii="仿宋_GB2312" w:hAnsi="仿宋_GB2312" w:eastAsia="仿宋_GB2312" w:cs="仿宋_GB2312"/>
                <w:b w:val="0"/>
                <w:color w:val="auto"/>
                <w:kern w:val="2"/>
                <w:sz w:val="26"/>
                <w:szCs w:val="26"/>
                <w:lang w:val="en-US" w:eastAsia="zh-CN"/>
              </w:rPr>
              <w:t>0</w:t>
            </w:r>
            <w:r>
              <w:rPr>
                <w:rStyle w:val="10"/>
                <w:rFonts w:hint="eastAsia" w:ascii="仿宋_GB2312" w:hAnsi="仿宋_GB2312" w:eastAsia="仿宋_GB2312" w:cs="仿宋_GB2312"/>
                <w:b w:val="0"/>
                <w:color w:val="000000"/>
                <w:kern w:val="2"/>
                <w:sz w:val="26"/>
                <w:szCs w:val="26"/>
                <w:lang w:val="en-US" w:eastAsia="zh-CN"/>
              </w:rPr>
              <w:t>.2</w:t>
            </w:r>
            <w:r>
              <w:rPr>
                <w:rStyle w:val="10"/>
                <w:rFonts w:hint="eastAsia" w:ascii="仿宋_GB2312" w:hAnsi="仿宋_GB2312" w:eastAsia="仿宋_GB2312" w:cs="仿宋_GB2312"/>
                <w:b w:val="0"/>
                <w:color w:val="000000"/>
                <w:kern w:val="2"/>
                <w:sz w:val="26"/>
                <w:szCs w:val="26"/>
              </w:rPr>
              <w:t>因中标人原因造成合同无法按时签订，视为中标人违约，采购人有权没收其投标保证金，如保证金不能弥补中标人违约对采购人造成的损失的，中标人还需另行支付相应的赔偿。</w:t>
            </w:r>
          </w:p>
          <w:p w14:paraId="0241D3DB">
            <w:pPr>
              <w:pageBreakBefore w:val="0"/>
              <w:kinsoku/>
              <w:wordWrap/>
              <w:overflowPunct/>
              <w:topLinePunct w:val="0"/>
              <w:bidi w:val="0"/>
              <w:spacing w:line="460" w:lineRule="exact"/>
              <w:ind w:firstLine="520" w:firstLineChars="200"/>
              <w:jc w:val="left"/>
              <w:rPr>
                <w:rStyle w:val="10"/>
                <w:rFonts w:hint="eastAsia" w:ascii="仿宋_GB2312" w:hAnsi="仿宋_GB2312" w:eastAsia="仿宋_GB2312" w:cs="仿宋_GB2312"/>
                <w:b w:val="0"/>
                <w:color w:val="000000"/>
                <w:kern w:val="2"/>
                <w:sz w:val="26"/>
                <w:szCs w:val="26"/>
              </w:rPr>
            </w:pPr>
            <w:r>
              <w:rPr>
                <w:rStyle w:val="10"/>
                <w:rFonts w:hint="eastAsia" w:ascii="仿宋_GB2312" w:hAnsi="仿宋_GB2312" w:eastAsia="仿宋_GB2312" w:cs="仿宋_GB2312"/>
                <w:b w:val="0"/>
                <w:color w:val="000000"/>
                <w:kern w:val="2"/>
                <w:sz w:val="26"/>
                <w:szCs w:val="26"/>
                <w:lang w:val="en-US" w:eastAsia="zh-CN"/>
              </w:rPr>
              <w:t>1</w:t>
            </w:r>
            <w:r>
              <w:rPr>
                <w:rStyle w:val="10"/>
                <w:rFonts w:hint="eastAsia" w:ascii="仿宋_GB2312" w:hAnsi="仿宋_GB2312" w:eastAsia="仿宋_GB2312" w:cs="仿宋_GB2312"/>
                <w:b w:val="0"/>
                <w:color w:val="auto"/>
                <w:kern w:val="2"/>
                <w:sz w:val="26"/>
                <w:szCs w:val="26"/>
                <w:lang w:val="en-US" w:eastAsia="zh-CN"/>
              </w:rPr>
              <w:t>0</w:t>
            </w:r>
            <w:r>
              <w:rPr>
                <w:rStyle w:val="10"/>
                <w:rFonts w:hint="eastAsia" w:ascii="仿宋_GB2312" w:hAnsi="仿宋_GB2312" w:eastAsia="仿宋_GB2312" w:cs="仿宋_GB2312"/>
                <w:b w:val="0"/>
                <w:color w:val="000000"/>
                <w:kern w:val="2"/>
                <w:sz w:val="26"/>
                <w:szCs w:val="26"/>
                <w:lang w:val="en-US" w:eastAsia="zh-CN"/>
              </w:rPr>
              <w:t>.3</w:t>
            </w:r>
            <w:r>
              <w:rPr>
                <w:rStyle w:val="10"/>
                <w:rFonts w:hint="eastAsia" w:ascii="仿宋_GB2312" w:hAnsi="仿宋_GB2312" w:eastAsia="仿宋_GB2312" w:cs="仿宋_GB2312"/>
                <w:b w:val="0"/>
                <w:color w:val="000000"/>
                <w:kern w:val="2"/>
                <w:sz w:val="26"/>
                <w:szCs w:val="26"/>
              </w:rPr>
              <w:t>在签订合同之后，中标人要求解除合同、</w:t>
            </w:r>
            <w:r>
              <w:rPr>
                <w:rFonts w:hint="eastAsia" w:ascii="仿宋_GB2312" w:hAnsi="仿宋_GB2312" w:eastAsia="仿宋_GB2312" w:cs="仿宋_GB2312"/>
                <w:sz w:val="26"/>
                <w:szCs w:val="26"/>
              </w:rPr>
              <w:t>不履行或不能履行本合同，</w:t>
            </w:r>
            <w:r>
              <w:rPr>
                <w:rStyle w:val="10"/>
                <w:rFonts w:hint="eastAsia" w:ascii="仿宋_GB2312" w:hAnsi="仿宋_GB2312" w:eastAsia="仿宋_GB2312" w:cs="仿宋_GB2312"/>
                <w:b w:val="0"/>
                <w:color w:val="000000"/>
                <w:kern w:val="2"/>
                <w:sz w:val="26"/>
                <w:szCs w:val="26"/>
              </w:rPr>
              <w:t>视为中标人违约，采购人有权单方面解除合同，没收其履约保证金，对采购人造成的损失的，采购人有权要求中标人另行支付中标总额30%的违约金。</w:t>
            </w:r>
          </w:p>
          <w:p w14:paraId="4B2DFD2F">
            <w:pPr>
              <w:pageBreakBefore w:val="0"/>
              <w:kinsoku/>
              <w:wordWrap/>
              <w:overflowPunct/>
              <w:topLinePunct w:val="0"/>
              <w:bidi w:val="0"/>
              <w:spacing w:line="460" w:lineRule="exact"/>
              <w:ind w:firstLine="520" w:firstLineChars="200"/>
              <w:jc w:val="left"/>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eastAsia="zh-CN"/>
              </w:rPr>
              <w:t>1</w:t>
            </w:r>
            <w:r>
              <w:rPr>
                <w:rFonts w:hint="eastAsia" w:ascii="仿宋_GB2312" w:hAnsi="仿宋_GB2312" w:eastAsia="仿宋_GB2312" w:cs="仿宋_GB2312"/>
                <w:sz w:val="26"/>
                <w:szCs w:val="26"/>
                <w:lang w:val="en-US" w:eastAsia="zh-CN"/>
              </w:rPr>
              <w:t>0.4</w:t>
            </w:r>
            <w:r>
              <w:rPr>
                <w:rFonts w:hint="eastAsia" w:ascii="仿宋_GB2312" w:hAnsi="仿宋_GB2312" w:eastAsia="仿宋_GB2312" w:cs="仿宋_GB2312"/>
                <w:sz w:val="26"/>
                <w:szCs w:val="26"/>
              </w:rPr>
              <w:t>中标人未按技术要求提供产品或经验收不合格，采购人有权拒收，中标人应在合同约定的期限内交付合格产品。如因此造成延期交货，按延期交货处理；如拒绝更换合格产品或时间超过30天尚未交付合格产品，均按不能履行本合同的约定承担违约责任。</w:t>
            </w:r>
          </w:p>
          <w:p w14:paraId="0C0B2DD3">
            <w:pPr>
              <w:pageBreakBefore w:val="0"/>
              <w:kinsoku/>
              <w:wordWrap/>
              <w:overflowPunct/>
              <w:topLinePunct w:val="0"/>
              <w:bidi w:val="0"/>
              <w:spacing w:line="460" w:lineRule="exact"/>
              <w:ind w:firstLine="520"/>
              <w:jc w:val="left"/>
              <w:rPr>
                <w:rFonts w:hint="eastAsia" w:ascii="仿宋_GB2312" w:hAnsi="仿宋_GB2312" w:eastAsia="仿宋_GB2312" w:cs="仿宋_GB2312"/>
                <w:sz w:val="26"/>
                <w:szCs w:val="26"/>
              </w:rPr>
            </w:pPr>
            <w:r>
              <w:rPr>
                <w:rFonts w:hint="eastAsia" w:ascii="仿宋_GB2312" w:hAnsi="仿宋_GB2312" w:eastAsia="仿宋_GB2312" w:cs="仿宋_GB2312"/>
                <w:sz w:val="26"/>
                <w:szCs w:val="26"/>
                <w:lang w:val="en-US" w:eastAsia="zh-CN"/>
              </w:rPr>
              <w:t>10.5</w:t>
            </w:r>
            <w:r>
              <w:rPr>
                <w:rFonts w:hint="eastAsia" w:ascii="仿宋_GB2312" w:hAnsi="仿宋_GB2312" w:eastAsia="仿宋_GB2312" w:cs="仿宋_GB2312"/>
                <w:sz w:val="26"/>
                <w:szCs w:val="26"/>
              </w:rPr>
              <w:t>中标人延期交货，应向采购人偿付延期违约金，违约金按每天人民币 壹仟元计算。如延期时间超过30天，则视为中标人不履行本合同，采购人有权单方面解除本合同，同时按本条</w:t>
            </w:r>
            <w:r>
              <w:rPr>
                <w:rStyle w:val="10"/>
                <w:rFonts w:hint="eastAsia" w:ascii="仿宋_GB2312" w:hAnsi="仿宋_GB2312" w:eastAsia="仿宋_GB2312" w:cs="仿宋_GB2312"/>
                <w:b w:val="0"/>
                <w:color w:val="000000"/>
                <w:kern w:val="2"/>
                <w:sz w:val="26"/>
                <w:szCs w:val="26"/>
              </w:rPr>
              <w:t>不能履行本合同的约定承担违约责任。</w:t>
            </w:r>
          </w:p>
          <w:p w14:paraId="196BF427">
            <w:pPr>
              <w:pageBreakBefore w:val="0"/>
              <w:kinsoku/>
              <w:wordWrap/>
              <w:overflowPunct/>
              <w:topLinePunct w:val="0"/>
              <w:bidi w:val="0"/>
              <w:spacing w:line="460" w:lineRule="exact"/>
              <w:ind w:firstLine="520" w:firstLineChars="200"/>
              <w:jc w:val="left"/>
              <w:rPr>
                <w:rStyle w:val="10"/>
                <w:rFonts w:hint="eastAsia" w:ascii="仿宋_GB2312" w:hAnsi="仿宋_GB2312" w:eastAsia="仿宋_GB2312" w:cs="仿宋_GB2312"/>
                <w:b w:val="0"/>
                <w:color w:val="000000"/>
                <w:kern w:val="2"/>
                <w:sz w:val="26"/>
                <w:szCs w:val="26"/>
              </w:rPr>
            </w:pPr>
            <w:r>
              <w:rPr>
                <w:rStyle w:val="10"/>
                <w:rFonts w:hint="eastAsia" w:ascii="仿宋_GB2312" w:hAnsi="仿宋_GB2312" w:eastAsia="仿宋_GB2312" w:cs="仿宋_GB2312"/>
                <w:b w:val="0"/>
                <w:color w:val="000000"/>
                <w:kern w:val="2"/>
                <w:sz w:val="26"/>
                <w:szCs w:val="26"/>
                <w:lang w:val="en-US" w:eastAsia="zh-CN"/>
              </w:rPr>
              <w:t>1</w:t>
            </w:r>
            <w:r>
              <w:rPr>
                <w:rStyle w:val="10"/>
                <w:rFonts w:hint="eastAsia" w:ascii="仿宋_GB2312" w:hAnsi="仿宋_GB2312" w:eastAsia="仿宋_GB2312" w:cs="仿宋_GB2312"/>
                <w:b w:val="0"/>
                <w:color w:val="auto"/>
                <w:kern w:val="2"/>
                <w:sz w:val="26"/>
                <w:szCs w:val="26"/>
                <w:lang w:val="en-US" w:eastAsia="zh-CN"/>
              </w:rPr>
              <w:t>0</w:t>
            </w:r>
            <w:r>
              <w:rPr>
                <w:rStyle w:val="10"/>
                <w:rFonts w:hint="eastAsia" w:ascii="仿宋_GB2312" w:hAnsi="仿宋_GB2312" w:eastAsia="仿宋_GB2312" w:cs="仿宋_GB2312"/>
                <w:b w:val="0"/>
                <w:color w:val="000000"/>
                <w:kern w:val="2"/>
                <w:sz w:val="26"/>
                <w:szCs w:val="26"/>
                <w:lang w:val="en-US" w:eastAsia="zh-CN"/>
              </w:rPr>
              <w:t>.6</w:t>
            </w:r>
            <w:r>
              <w:rPr>
                <w:rStyle w:val="10"/>
                <w:rFonts w:hint="eastAsia" w:ascii="仿宋_GB2312" w:hAnsi="仿宋_GB2312" w:eastAsia="仿宋_GB2312" w:cs="仿宋_GB2312"/>
                <w:b w:val="0"/>
                <w:color w:val="000000"/>
                <w:kern w:val="2"/>
                <w:sz w:val="26"/>
                <w:szCs w:val="26"/>
              </w:rPr>
              <w:t>所供产品在正常使用情况下发生安全事故的，中标人应承担法律和经济责任。</w:t>
            </w:r>
          </w:p>
          <w:p w14:paraId="5FFC9504">
            <w:pPr>
              <w:pageBreakBefore w:val="0"/>
              <w:kinsoku/>
              <w:wordWrap/>
              <w:overflowPunct/>
              <w:topLinePunct w:val="0"/>
              <w:bidi w:val="0"/>
              <w:spacing w:line="460" w:lineRule="exact"/>
              <w:ind w:firstLine="520" w:firstLineChars="200"/>
              <w:jc w:val="left"/>
              <w:rPr>
                <w:rStyle w:val="10"/>
                <w:rFonts w:hint="eastAsia" w:ascii="仿宋_GB2312" w:hAnsi="仿宋_GB2312" w:eastAsia="仿宋_GB2312" w:cs="仿宋_GB2312"/>
                <w:b w:val="0"/>
                <w:color w:val="000000"/>
                <w:kern w:val="2"/>
                <w:sz w:val="26"/>
                <w:szCs w:val="26"/>
              </w:rPr>
            </w:pPr>
            <w:r>
              <w:rPr>
                <w:rStyle w:val="10"/>
                <w:rFonts w:hint="eastAsia" w:ascii="仿宋_GB2312" w:hAnsi="仿宋_GB2312" w:eastAsia="仿宋_GB2312" w:cs="仿宋_GB2312"/>
                <w:b w:val="0"/>
                <w:color w:val="000000"/>
                <w:sz w:val="26"/>
                <w:szCs w:val="26"/>
                <w:lang w:val="en-US" w:eastAsia="zh-CN"/>
              </w:rPr>
              <w:t>1</w:t>
            </w:r>
            <w:r>
              <w:rPr>
                <w:rStyle w:val="10"/>
                <w:rFonts w:hint="eastAsia" w:ascii="仿宋_GB2312" w:hAnsi="仿宋_GB2312" w:eastAsia="仿宋_GB2312" w:cs="仿宋_GB2312"/>
                <w:b w:val="0"/>
                <w:color w:val="auto"/>
                <w:sz w:val="26"/>
                <w:szCs w:val="26"/>
                <w:lang w:val="en-US" w:eastAsia="zh-CN"/>
              </w:rPr>
              <w:t>0</w:t>
            </w:r>
            <w:r>
              <w:rPr>
                <w:rStyle w:val="10"/>
                <w:rFonts w:hint="eastAsia" w:ascii="仿宋_GB2312" w:hAnsi="仿宋_GB2312" w:eastAsia="仿宋_GB2312" w:cs="仿宋_GB2312"/>
                <w:b w:val="0"/>
                <w:color w:val="000000"/>
                <w:sz w:val="26"/>
                <w:szCs w:val="26"/>
                <w:lang w:val="en-US" w:eastAsia="zh-CN"/>
              </w:rPr>
              <w:t>.7</w:t>
            </w:r>
            <w:r>
              <w:rPr>
                <w:rStyle w:val="10"/>
                <w:rFonts w:hint="eastAsia" w:ascii="仿宋_GB2312" w:hAnsi="仿宋_GB2312" w:eastAsia="仿宋_GB2312" w:cs="仿宋_GB2312"/>
                <w:b w:val="0"/>
                <w:color w:val="000000"/>
                <w:sz w:val="26"/>
                <w:szCs w:val="26"/>
              </w:rPr>
              <w:t>中标人必须严格遵守《中华人民共和国保守国家秘密法》及其他有关法律法规，保证采购人保密信息（包含但不限于账号、密码及网络传输等信息）仅限于直接参与技术合作的有关人员知悉，不得外传。</w:t>
            </w:r>
            <w:r>
              <w:rPr>
                <w:rStyle w:val="10"/>
                <w:rFonts w:hint="eastAsia" w:ascii="仿宋_GB2312" w:hAnsi="仿宋_GB2312" w:eastAsia="仿宋_GB2312" w:cs="仿宋_GB2312"/>
                <w:b w:val="0"/>
                <w:color w:val="000000"/>
                <w:kern w:val="2"/>
                <w:sz w:val="26"/>
                <w:szCs w:val="26"/>
              </w:rPr>
              <w:t>对所有信息严格保密，做到专人管理，确保数据不泄漏，不作他用，维护好采购人的数据及信息安全。若因中标人原因造成数据泄露，采购人有权单方面终止合同，没收履约保证金，并保留追溯中标人承担相应法律责任的权利。</w:t>
            </w:r>
          </w:p>
          <w:p w14:paraId="460DADDB">
            <w:pPr>
              <w:pageBreakBefore w:val="0"/>
              <w:kinsoku/>
              <w:wordWrap/>
              <w:overflowPunct/>
              <w:topLinePunct w:val="0"/>
              <w:bidi w:val="0"/>
              <w:spacing w:line="460" w:lineRule="exact"/>
              <w:ind w:firstLine="520" w:firstLineChars="200"/>
              <w:jc w:val="left"/>
              <w:rPr>
                <w:rFonts w:hint="eastAsia" w:ascii="仿宋_GB2312" w:hAnsi="仿宋_GB2312" w:eastAsia="仿宋_GB2312" w:cs="仿宋_GB2312"/>
                <w:sz w:val="26"/>
                <w:szCs w:val="26"/>
              </w:rPr>
            </w:pPr>
            <w:r>
              <w:rPr>
                <w:rStyle w:val="10"/>
                <w:rFonts w:hint="eastAsia" w:ascii="仿宋_GB2312" w:hAnsi="仿宋_GB2312" w:eastAsia="仿宋_GB2312" w:cs="仿宋_GB2312"/>
                <w:b w:val="0"/>
                <w:color w:val="000000"/>
                <w:kern w:val="2"/>
                <w:sz w:val="26"/>
                <w:szCs w:val="26"/>
                <w:lang w:val="en-US" w:eastAsia="zh-CN"/>
              </w:rPr>
              <w:t>1</w:t>
            </w:r>
            <w:r>
              <w:rPr>
                <w:rStyle w:val="10"/>
                <w:rFonts w:hint="eastAsia" w:ascii="仿宋_GB2312" w:hAnsi="仿宋_GB2312" w:eastAsia="仿宋_GB2312" w:cs="仿宋_GB2312"/>
                <w:b w:val="0"/>
                <w:color w:val="auto"/>
                <w:kern w:val="2"/>
                <w:sz w:val="26"/>
                <w:szCs w:val="26"/>
                <w:lang w:val="en-US" w:eastAsia="zh-CN"/>
              </w:rPr>
              <w:t>0</w:t>
            </w:r>
            <w:r>
              <w:rPr>
                <w:rStyle w:val="10"/>
                <w:rFonts w:hint="eastAsia" w:ascii="仿宋_GB2312" w:hAnsi="仿宋_GB2312" w:eastAsia="仿宋_GB2312" w:cs="仿宋_GB2312"/>
                <w:b w:val="0"/>
                <w:color w:val="000000"/>
                <w:kern w:val="2"/>
                <w:sz w:val="26"/>
                <w:szCs w:val="26"/>
                <w:lang w:val="en-US" w:eastAsia="zh-CN"/>
              </w:rPr>
              <w:t>.8</w:t>
            </w:r>
            <w:r>
              <w:rPr>
                <w:rFonts w:hint="eastAsia" w:ascii="仿宋_GB2312" w:hAnsi="仿宋_GB2312" w:eastAsia="仿宋_GB2312" w:cs="仿宋_GB2312"/>
                <w:sz w:val="26"/>
                <w:szCs w:val="26"/>
              </w:rPr>
              <w:t>因中标人违约对采购人造成损失的赔偿金及合同约定的违约金均可由采购人从未支付的合同款或履约保证金中扣除。在履约保证金有效期限内，如遇履约保证金被扣除，中标人应在一个星期内补足维持原保证金金额。若未支付的合同款、履约保证金不足以支付采购人的损失，不足部分由中标人另行支付。</w:t>
            </w:r>
          </w:p>
          <w:p w14:paraId="4BBCB45E">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sz w:val="26"/>
                <w:szCs w:val="26"/>
                <w:lang w:val="en-US" w:eastAsia="zh-CN"/>
              </w:rPr>
            </w:pPr>
            <w:r>
              <w:rPr>
                <w:rFonts w:hint="eastAsia" w:ascii="仿宋_GB2312" w:hAnsi="仿宋_GB2312" w:eastAsia="仿宋_GB2312" w:cs="仿宋_GB2312"/>
                <w:b/>
                <w:sz w:val="26"/>
                <w:szCs w:val="26"/>
                <w:lang w:val="en-US" w:eastAsia="zh-CN"/>
              </w:rPr>
              <w:t>11.知识产权（以下为举例参考，可根据项目实际自行修改）</w:t>
            </w:r>
          </w:p>
          <w:p w14:paraId="3E6CB1AB">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 w:val="0"/>
                <w:bCs/>
                <w:sz w:val="26"/>
                <w:szCs w:val="26"/>
                <w:lang w:val="en-US" w:eastAsia="zh-CN"/>
              </w:rPr>
            </w:pPr>
            <w:r>
              <w:rPr>
                <w:rFonts w:hint="eastAsia" w:ascii="仿宋_GB2312" w:hAnsi="仿宋_GB2312" w:eastAsia="仿宋_GB2312" w:cs="仿宋_GB2312"/>
                <w:b w:val="0"/>
                <w:bCs/>
                <w:sz w:val="26"/>
                <w:szCs w:val="26"/>
                <w:lang w:val="en-US" w:eastAsia="zh-CN"/>
              </w:rPr>
              <w:t>11.1中标人提供的采购标的应符合国家知识产权法律、法规的规定且非假冒伪劣产品；中标人还应保证采购人不受到第三方关于侵犯知识产权及专利权、商标权或工业设计权等知识产权方面的指控，任何第三方如果提出此方面指控均与采购人无关，中标人应与第三方交涉，并承担可能发生的一切法律责任、费用和后果；若采购人因此而遭致损失，则中标人应赔偿该损失。</w:t>
            </w:r>
          </w:p>
          <w:p w14:paraId="2ADCBA78">
            <w:pPr>
              <w:keepNext w:val="0"/>
              <w:keepLines w:val="0"/>
              <w:pageBreakBefore w:val="0"/>
              <w:kinsoku/>
              <w:wordWrap/>
              <w:overflowPunct/>
              <w:topLinePunct w:val="0"/>
              <w:autoSpaceDE/>
              <w:autoSpaceDN/>
              <w:bidi w:val="0"/>
              <w:adjustRightInd/>
              <w:spacing w:line="460" w:lineRule="exact"/>
              <w:ind w:firstLine="520" w:firstLineChars="200"/>
              <w:jc w:val="left"/>
              <w:rPr>
                <w:rFonts w:hint="eastAsia" w:ascii="仿宋_GB2312" w:hAnsi="仿宋_GB2312" w:eastAsia="仿宋_GB2312" w:cs="仿宋_GB2312"/>
                <w:b w:val="0"/>
                <w:bCs/>
                <w:sz w:val="26"/>
                <w:szCs w:val="26"/>
                <w:lang w:val="en-US" w:eastAsia="zh-CN"/>
              </w:rPr>
            </w:pPr>
            <w:r>
              <w:rPr>
                <w:rFonts w:hint="eastAsia" w:ascii="仿宋_GB2312" w:hAnsi="仿宋_GB2312" w:eastAsia="仿宋_GB2312" w:cs="仿宋_GB2312"/>
                <w:b w:val="0"/>
                <w:bCs/>
                <w:sz w:val="26"/>
                <w:szCs w:val="26"/>
                <w:lang w:val="en-US" w:eastAsia="zh-CN"/>
              </w:rPr>
              <w:t>11.2本项目与宣传有关的包括著作权在内的一切知识产权归福建师范大学协和学院所有。未经采购人书面同意，中标人不得以任何方式使用或者许可他人使用宣传内容。</w:t>
            </w:r>
          </w:p>
          <w:p w14:paraId="23C223E1">
            <w:pPr>
              <w:keepNext w:val="0"/>
              <w:keepLines w:val="0"/>
              <w:pageBreakBefore w:val="0"/>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Cs/>
                <w:sz w:val="26"/>
                <w:szCs w:val="26"/>
              </w:rPr>
            </w:pPr>
            <w:r>
              <w:rPr>
                <w:rFonts w:hint="eastAsia" w:ascii="仿宋_GB2312" w:hAnsi="仿宋_GB2312" w:eastAsia="仿宋_GB2312" w:cs="仿宋_GB2312"/>
                <w:b/>
                <w:sz w:val="26"/>
                <w:szCs w:val="26"/>
                <w:lang w:val="en-US" w:eastAsia="zh-CN"/>
              </w:rPr>
              <w:t>12.</w:t>
            </w:r>
            <w:r>
              <w:rPr>
                <w:rFonts w:hint="eastAsia" w:ascii="仿宋_GB2312" w:hAnsi="仿宋_GB2312" w:eastAsia="仿宋_GB2312" w:cs="仿宋_GB2312"/>
                <w:b/>
                <w:sz w:val="26"/>
                <w:szCs w:val="26"/>
              </w:rPr>
              <w:t>其他要求</w:t>
            </w:r>
            <w:r>
              <w:rPr>
                <w:rFonts w:hint="eastAsia" w:ascii="仿宋_GB2312" w:hAnsi="仿宋_GB2312" w:eastAsia="仿宋_GB2312" w:cs="仿宋_GB2312"/>
                <w:bCs/>
                <w:color w:val="FF0000"/>
                <w:sz w:val="26"/>
                <w:szCs w:val="26"/>
              </w:rPr>
              <w:t>（若无其他要求，请删除此条目）</w:t>
            </w:r>
          </w:p>
          <w:p w14:paraId="529664CA">
            <w:pPr>
              <w:keepNext w:val="0"/>
              <w:keepLines w:val="0"/>
              <w:pageBreakBefore w:val="0"/>
              <w:kinsoku/>
              <w:wordWrap/>
              <w:overflowPunct/>
              <w:topLinePunct w:val="0"/>
              <w:autoSpaceDE/>
              <w:autoSpaceDN/>
              <w:bidi w:val="0"/>
              <w:adjustRightInd/>
              <w:spacing w:line="460" w:lineRule="exact"/>
              <w:ind w:firstLine="390" w:firstLineChars="150"/>
              <w:jc w:val="left"/>
              <w:rPr>
                <w:rFonts w:ascii="宋体" w:hAnsi="宋体" w:cs="宋体"/>
                <w:sz w:val="24"/>
              </w:rPr>
            </w:pPr>
            <w:r>
              <w:rPr>
                <w:rFonts w:hint="eastAsia" w:ascii="仿宋_GB2312" w:hAnsi="仿宋_GB2312" w:eastAsia="仿宋_GB2312" w:cs="仿宋_GB2312"/>
                <w:bCs/>
                <w:sz w:val="26"/>
                <w:szCs w:val="26"/>
              </w:rPr>
              <w:t>……</w:t>
            </w:r>
          </w:p>
          <w:p w14:paraId="5A2CA2A1">
            <w:pPr>
              <w:pStyle w:val="3"/>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bl>
    <w:p w14:paraId="5187C4AA">
      <w:pPr>
        <w:rPr>
          <w:rFonts w:ascii="宋体" w:hAnsi="宋体" w:cs="宋体"/>
          <w:sz w:val="24"/>
        </w:rPr>
      </w:pPr>
    </w:p>
    <w:sectPr>
      <w:headerReference r:id="rId3" w:type="default"/>
      <w:footerReference r:id="rId4" w:type="default"/>
      <w:pgSz w:w="11906" w:h="16838"/>
      <w:pgMar w:top="1474" w:right="1304" w:bottom="1474" w:left="1304" w:header="737" w:footer="73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7BEB5">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9935"/>
                          </w:sdtPr>
                          <w:sdtContent>
                            <w:p w14:paraId="1DAEBF44">
                              <w:pPr>
                                <w:pStyle w:val="5"/>
                                <w:jc w:val="center"/>
                              </w:pPr>
                              <w:r>
                                <w:fldChar w:fldCharType="begin"/>
                              </w:r>
                              <w:r>
                                <w:instrText xml:space="preserve">PAGE   \* MERGEFORMAT</w:instrText>
                              </w:r>
                              <w:r>
                                <w:fldChar w:fldCharType="separate"/>
                              </w:r>
                              <w:r>
                                <w:rPr>
                                  <w:lang w:val="zh-CN"/>
                                </w:rPr>
                                <w:t>7</w:t>
                              </w:r>
                              <w:r>
                                <w:fldChar w:fldCharType="end"/>
                              </w:r>
                            </w:p>
                          </w:sdtContent>
                        </w:sdt>
                        <w:p w14:paraId="61AEB7A4">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79935"/>
                    </w:sdtPr>
                    <w:sdtContent>
                      <w:p w14:paraId="1DAEBF44">
                        <w:pPr>
                          <w:pStyle w:val="5"/>
                          <w:jc w:val="center"/>
                        </w:pPr>
                        <w:r>
                          <w:fldChar w:fldCharType="begin"/>
                        </w:r>
                        <w:r>
                          <w:instrText xml:space="preserve">PAGE   \* MERGEFORMAT</w:instrText>
                        </w:r>
                        <w:r>
                          <w:fldChar w:fldCharType="separate"/>
                        </w:r>
                        <w:r>
                          <w:rPr>
                            <w:lang w:val="zh-CN"/>
                          </w:rPr>
                          <w:t>7</w:t>
                        </w:r>
                        <w:r>
                          <w:fldChar w:fldCharType="end"/>
                        </w:r>
                      </w:p>
                    </w:sdtContent>
                  </w:sdt>
                  <w:p w14:paraId="61AEB7A4">
                    <w:pPr>
                      <w:pStyle w:val="2"/>
                    </w:pPr>
                  </w:p>
                </w:txbxContent>
              </v:textbox>
            </v:shape>
          </w:pict>
        </mc:Fallback>
      </mc:AlternateContent>
    </w:r>
  </w:p>
  <w:p w14:paraId="0E52BC10">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4FA1E">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4MDliNjQ4ZTZhYjM4MDUxMjk5N2VkMzZiYTI1YTUifQ=="/>
  </w:docVars>
  <w:rsids>
    <w:rsidRoot w:val="00EF6FC8"/>
    <w:rsid w:val="00051C2F"/>
    <w:rsid w:val="0010601D"/>
    <w:rsid w:val="00182735"/>
    <w:rsid w:val="00191067"/>
    <w:rsid w:val="00192787"/>
    <w:rsid w:val="001A2C58"/>
    <w:rsid w:val="001C303A"/>
    <w:rsid w:val="002316B0"/>
    <w:rsid w:val="00243CF1"/>
    <w:rsid w:val="00270C61"/>
    <w:rsid w:val="002776B7"/>
    <w:rsid w:val="002D1252"/>
    <w:rsid w:val="002E38A4"/>
    <w:rsid w:val="002F5D73"/>
    <w:rsid w:val="003103CE"/>
    <w:rsid w:val="00334FF2"/>
    <w:rsid w:val="00384EAE"/>
    <w:rsid w:val="00397AF4"/>
    <w:rsid w:val="003B515D"/>
    <w:rsid w:val="003C4919"/>
    <w:rsid w:val="004068B1"/>
    <w:rsid w:val="004854A4"/>
    <w:rsid w:val="0051628A"/>
    <w:rsid w:val="005B69CD"/>
    <w:rsid w:val="005C3FC3"/>
    <w:rsid w:val="005F152B"/>
    <w:rsid w:val="00660F2B"/>
    <w:rsid w:val="006636CD"/>
    <w:rsid w:val="006770C2"/>
    <w:rsid w:val="006803C8"/>
    <w:rsid w:val="00686E8B"/>
    <w:rsid w:val="00712B6E"/>
    <w:rsid w:val="00726689"/>
    <w:rsid w:val="00771287"/>
    <w:rsid w:val="007853E3"/>
    <w:rsid w:val="007B3E82"/>
    <w:rsid w:val="007D2AC9"/>
    <w:rsid w:val="00883D3F"/>
    <w:rsid w:val="008D3ABD"/>
    <w:rsid w:val="009C38AE"/>
    <w:rsid w:val="009C773E"/>
    <w:rsid w:val="00A05787"/>
    <w:rsid w:val="00AE416E"/>
    <w:rsid w:val="00BF1924"/>
    <w:rsid w:val="00C936DC"/>
    <w:rsid w:val="00C9617B"/>
    <w:rsid w:val="00D40F71"/>
    <w:rsid w:val="00DB6300"/>
    <w:rsid w:val="00E40646"/>
    <w:rsid w:val="00E92B27"/>
    <w:rsid w:val="00EF277E"/>
    <w:rsid w:val="00EF6FC8"/>
    <w:rsid w:val="00F0436D"/>
    <w:rsid w:val="00F241F7"/>
    <w:rsid w:val="00FC4E6D"/>
    <w:rsid w:val="0B046023"/>
    <w:rsid w:val="0CDA430A"/>
    <w:rsid w:val="0E4401F8"/>
    <w:rsid w:val="0EEA548C"/>
    <w:rsid w:val="0F5B7661"/>
    <w:rsid w:val="12146F8F"/>
    <w:rsid w:val="132F5EFA"/>
    <w:rsid w:val="139974F1"/>
    <w:rsid w:val="149953F8"/>
    <w:rsid w:val="1CAE6F9B"/>
    <w:rsid w:val="1E9D41B6"/>
    <w:rsid w:val="1FD85867"/>
    <w:rsid w:val="20757E99"/>
    <w:rsid w:val="22DC7D2B"/>
    <w:rsid w:val="236E767C"/>
    <w:rsid w:val="2AF35980"/>
    <w:rsid w:val="35C267C1"/>
    <w:rsid w:val="35D45791"/>
    <w:rsid w:val="3C730C5D"/>
    <w:rsid w:val="3FE53D38"/>
    <w:rsid w:val="44D42272"/>
    <w:rsid w:val="45455DE9"/>
    <w:rsid w:val="45C71F35"/>
    <w:rsid w:val="461644B5"/>
    <w:rsid w:val="4B833E07"/>
    <w:rsid w:val="50054F39"/>
    <w:rsid w:val="51275099"/>
    <w:rsid w:val="518D7FC2"/>
    <w:rsid w:val="51916834"/>
    <w:rsid w:val="54E800EA"/>
    <w:rsid w:val="59AC40C1"/>
    <w:rsid w:val="61A12540"/>
    <w:rsid w:val="646664BF"/>
    <w:rsid w:val="6A4610AD"/>
    <w:rsid w:val="6BA038AA"/>
    <w:rsid w:val="6DE02C90"/>
    <w:rsid w:val="74B45CA7"/>
    <w:rsid w:val="75DC7676"/>
    <w:rsid w:val="79814C67"/>
    <w:rsid w:val="7CB450F6"/>
    <w:rsid w:val="7D625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3" w:lineRule="auto"/>
      <w:jc w:val="center"/>
      <w:outlineLvl w:val="1"/>
    </w:pPr>
    <w:rPr>
      <w:rFonts w:ascii="Arial Black" w:hAnsi="Arial Black" w:eastAsia="Arial Narrow" w:cs="Times New Roman"/>
      <w:b/>
      <w:kern w:val="2"/>
      <w:sz w:val="30"/>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annotation text"/>
    <w:basedOn w:val="1"/>
    <w:qFormat/>
    <w:uiPriority w:val="0"/>
    <w:pPr>
      <w:jc w:val="left"/>
    </w:pPr>
  </w:style>
  <w:style w:type="paragraph" w:styleId="5">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qFormat/>
    <w:uiPriority w:val="0"/>
    <w:pPr>
      <w:widowControl w:val="0"/>
      <w:spacing w:line="324" w:lineRule="auto"/>
      <w:jc w:val="both"/>
    </w:pPr>
    <w:rPr>
      <w:rFonts w:ascii="Times New Roman" w:hAnsi="Times New Roman" w:eastAsia="宋体" w:cs="Times New Roman"/>
      <w:kern w:val="2"/>
      <w:sz w:val="24"/>
      <w:szCs w:val="24"/>
      <w:lang w:val="en-US" w:eastAsia="zh-CN" w:bidi="ar-SA"/>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page number"/>
    <w:basedOn w:val="10"/>
    <w:qFormat/>
    <w:uiPriority w:val="0"/>
  </w:style>
  <w:style w:type="character" w:styleId="13">
    <w:name w:val="Hyperlink"/>
    <w:basedOn w:val="10"/>
    <w:semiHidden/>
    <w:unhideWhenUsed/>
    <w:qFormat/>
    <w:uiPriority w:val="99"/>
    <w:rPr>
      <w:color w:val="0000FF"/>
      <w:u w:val="single"/>
    </w:rPr>
  </w:style>
  <w:style w:type="character" w:customStyle="1" w:styleId="14">
    <w:name w:val="页眉 字符"/>
    <w:basedOn w:val="10"/>
    <w:link w:val="6"/>
    <w:qFormat/>
    <w:uiPriority w:val="99"/>
    <w:rPr>
      <w:sz w:val="18"/>
      <w:szCs w:val="18"/>
    </w:rPr>
  </w:style>
  <w:style w:type="character" w:customStyle="1" w:styleId="15">
    <w:name w:val="页脚 字符"/>
    <w:basedOn w:val="10"/>
    <w:link w:val="5"/>
    <w:qFormat/>
    <w:uiPriority w:val="99"/>
    <w:rPr>
      <w:sz w:val="18"/>
      <w:szCs w:val="18"/>
    </w:rPr>
  </w:style>
  <w:style w:type="paragraph" w:customStyle="1" w:styleId="16">
    <w:name w:val="_Style 2"/>
    <w:basedOn w:val="1"/>
    <w:qFormat/>
    <w:uiPriority w:val="0"/>
    <w:pPr>
      <w:ind w:firstLine="420" w:firstLineChars="200"/>
    </w:pPr>
    <w:rPr>
      <w:rFonts w:ascii="Calibri" w:hAnsi="Calibri"/>
      <w:szCs w:val="22"/>
    </w:rPr>
  </w:style>
  <w:style w:type="paragraph" w:styleId="17">
    <w:name w:val="List Paragraph"/>
    <w:basedOn w:val="1"/>
    <w:qFormat/>
    <w:uiPriority w:val="34"/>
    <w:pPr>
      <w:ind w:firstLine="420" w:firstLineChars="200"/>
    </w:pPr>
  </w:style>
  <w:style w:type="paragraph" w:customStyle="1" w:styleId="18">
    <w:name w:val="列出段落2"/>
    <w:basedOn w:val="1"/>
    <w:qFormat/>
    <w:uiPriority w:val="0"/>
    <w:pPr>
      <w:ind w:firstLine="420" w:firstLineChars="200"/>
    </w:pPr>
    <w:rPr>
      <w:rFonts w:ascii="Times New Roman" w:hAnsi="Times New Roman"/>
      <w:szCs w:val="22"/>
      <w:lang w:val="zh-CN"/>
    </w:rPr>
  </w:style>
  <w:style w:type="paragraph" w:customStyle="1" w:styleId="19">
    <w:name w:val="null3"/>
    <w:qFormat/>
    <w:uiPriority w:val="0"/>
    <w:rPr>
      <w:rFonts w:hint="eastAsia" w:ascii="Calibri" w:hAnsi="Calibri" w:eastAsia="宋体" w:cs="Times New Roman"/>
      <w:lang w:val="en-US" w:eastAsia="zh-Hans" w:bidi="ar-SA"/>
    </w:rPr>
  </w:style>
  <w:style w:type="paragraph" w:customStyle="1" w:styleId="20">
    <w:name w:val="Default"/>
    <w:qFormat/>
    <w:uiPriority w:val="99"/>
    <w:pPr>
      <w:widowControl w:val="0"/>
      <w:autoSpaceDE w:val="0"/>
      <w:autoSpaceDN w:val="0"/>
      <w:adjustRightInd w:val="0"/>
    </w:pPr>
    <w:rPr>
      <w:rFonts w:ascii="Arial Narrow" w:hAnsi="黑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5362</Words>
  <Characters>5639</Characters>
  <Lines>39</Lines>
  <Paragraphs>11</Paragraphs>
  <TotalTime>4</TotalTime>
  <ScaleCrop>false</ScaleCrop>
  <LinksUpToDate>false</LinksUpToDate>
  <CharactersWithSpaces>5812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2016-11-10T06:44:00Z</dcterms:created>
  <dc:creator>lenovo</dc:creator>
  <cp:lastModifiedBy>村夫</cp:lastModifiedBy>
  <dcterms:modified xsi:type="dcterms:W3CDTF">2025-05-09T06:07:33Z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72CC01AB160A46EBB903CE97B0CAFE18_13</vt:lpwstr>
  </property>
  <property fmtid="{D5CDD505-2E9C-101B-9397-08002B2CF9AE}" pid="4" name="KSOTemplateDocerSaveRecord">
    <vt:lpwstr>eyJoZGlkIjoiZTlkYTU1NGQ1OGZkZWZkNDhlZDM5ZjJmYzZlODI3OGYiLCJ1c2VySWQiOiIyNTEzNjE5MTkifQ==</vt:lpwstr>
  </property>
</Properties>
</file>