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23CF">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福建师范大学协和学院服务采购</w:t>
      </w:r>
    </w:p>
    <w:p w14:paraId="6D12921D">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需求报送单</w:t>
      </w:r>
    </w:p>
    <w:p w14:paraId="0B454A55">
      <w:pPr>
        <w:pStyle w:val="2"/>
        <w:keepNext w:val="0"/>
        <w:keepLines w:val="0"/>
        <w:pageBreakBefore w:val="0"/>
        <w:widowControl w:val="0"/>
        <w:kinsoku/>
        <w:wordWrap/>
        <w:overflowPunct/>
        <w:topLinePunct w:val="0"/>
        <w:autoSpaceDE/>
        <w:autoSpaceDN/>
        <w:bidi w:val="0"/>
        <w:adjustRightInd/>
        <w:snapToGrid/>
        <w:spacing w:after="313" w:afterLines="100" w:line="600" w:lineRule="exact"/>
        <w:ind w:left="0" w:leftChars="0" w:firstLine="0" w:firstLineChars="0"/>
        <w:jc w:val="center"/>
        <w:textAlignment w:val="auto"/>
        <w:rPr>
          <w:rFonts w:hint="default" w:ascii="黑体" w:hAnsi="黑体" w:eastAsia="黑体" w:cs="黑体"/>
          <w:b w:val="0"/>
          <w:bCs w:val="0"/>
          <w:sz w:val="44"/>
          <w:szCs w:val="44"/>
          <w:u w:val="none"/>
          <w:lang w:val="en-US" w:eastAsia="zh-CN"/>
        </w:rPr>
      </w:pPr>
      <w:r>
        <w:rPr>
          <w:rFonts w:hint="eastAsia" w:ascii="仿宋_GB2312" w:hAnsi="仿宋_GB2312" w:eastAsia="仿宋_GB2312" w:cs="仿宋_GB2312"/>
          <w:b w:val="0"/>
          <w:bCs w:val="0"/>
          <w:sz w:val="26"/>
          <w:szCs w:val="26"/>
          <w:u w:val="none"/>
          <w:lang w:val="en-US" w:eastAsia="zh-CN"/>
        </w:rPr>
        <w:t>（招标与非招标采购方式填报此单）</w:t>
      </w:r>
      <w:bookmarkStart w:id="4" w:name="_GoBack"/>
      <w:bookmarkEnd w:id="4"/>
    </w:p>
    <w:p w14:paraId="47C76AF1">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default" w:ascii="仿宋_GB2312" w:hAnsi="仿宋_GB2312" w:eastAsia="仿宋_GB2312" w:cs="仿宋_GB2312"/>
          <w:b w:val="0"/>
          <w:bCs w:val="0"/>
          <w:sz w:val="26"/>
          <w:szCs w:val="26"/>
          <w:u w:val="none"/>
          <w:lang w:val="en-US" w:eastAsia="zh-CN"/>
        </w:rPr>
      </w:pPr>
      <w:r>
        <w:rPr>
          <w:rFonts w:hint="eastAsia" w:ascii="仿宋_GB2312" w:hAnsi="仿宋_GB2312" w:eastAsia="仿宋_GB2312" w:cs="仿宋_GB2312"/>
          <w:b w:val="0"/>
          <w:bCs w:val="0"/>
          <w:sz w:val="26"/>
          <w:szCs w:val="26"/>
          <w:u w:val="none"/>
          <w:lang w:val="en-US" w:eastAsia="zh-CN"/>
        </w:rPr>
        <w:t>采购单位（盖章）： 部/系(院)</w:t>
      </w:r>
    </w:p>
    <w:tbl>
      <w:tblPr>
        <w:tblStyle w:val="9"/>
        <w:tblW w:w="10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3400"/>
        <w:gridCol w:w="1438"/>
        <w:gridCol w:w="3804"/>
      </w:tblGrid>
      <w:tr w14:paraId="665E6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40020BA">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项目名称</w:t>
            </w:r>
          </w:p>
        </w:tc>
        <w:tc>
          <w:tcPr>
            <w:tcW w:w="8642" w:type="dxa"/>
            <w:gridSpan w:val="3"/>
            <w:vAlign w:val="center"/>
          </w:tcPr>
          <w:p w14:paraId="47BA3A42">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7F201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EB2CB5C">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采购方式</w:t>
            </w:r>
          </w:p>
        </w:tc>
        <w:tc>
          <w:tcPr>
            <w:tcW w:w="3400" w:type="dxa"/>
            <w:vAlign w:val="center"/>
          </w:tcPr>
          <w:p w14:paraId="2CC43661">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公开询价/公开招标/......</w:t>
            </w:r>
          </w:p>
        </w:tc>
        <w:tc>
          <w:tcPr>
            <w:tcW w:w="1438" w:type="dxa"/>
            <w:vAlign w:val="center"/>
          </w:tcPr>
          <w:p w14:paraId="0D3B1892">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立项时间</w:t>
            </w:r>
          </w:p>
        </w:tc>
        <w:tc>
          <w:tcPr>
            <w:tcW w:w="3804" w:type="dxa"/>
            <w:vAlign w:val="center"/>
          </w:tcPr>
          <w:p w14:paraId="247D4764">
            <w:pPr>
              <w:pStyle w:val="2"/>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color w:val="FF0000"/>
                <w:sz w:val="18"/>
                <w:szCs w:val="18"/>
                <w:u w:val="none"/>
                <w:vertAlign w:val="baseline"/>
                <w:lang w:val="en-US" w:eastAsia="zh-CN"/>
              </w:rPr>
              <w:t>此栏填写院务会议审批立项时间（年月日），若预算金额</w:t>
            </w:r>
            <w:r>
              <w:rPr>
                <w:rFonts w:hint="eastAsia" w:ascii="微软雅黑" w:hAnsi="微软雅黑" w:eastAsia="微软雅黑" w:cs="微软雅黑"/>
                <w:b w:val="0"/>
                <w:bCs w:val="0"/>
                <w:color w:val="FF0000"/>
                <w:sz w:val="18"/>
                <w:szCs w:val="18"/>
                <w:u w:val="none"/>
                <w:vertAlign w:val="baseline"/>
                <w:lang w:val="en-US" w:eastAsia="zh-CN"/>
              </w:rPr>
              <w:t>&lt;</w:t>
            </w:r>
            <w:r>
              <w:rPr>
                <w:rFonts w:hint="eastAsia" w:ascii="仿宋_GB2312" w:hAnsi="仿宋_GB2312" w:eastAsia="仿宋_GB2312" w:cs="仿宋_GB2312"/>
                <w:b w:val="0"/>
                <w:bCs w:val="0"/>
                <w:color w:val="FF0000"/>
                <w:sz w:val="18"/>
                <w:szCs w:val="18"/>
                <w:u w:val="none"/>
                <w:vertAlign w:val="baseline"/>
                <w:lang w:val="en-US" w:eastAsia="zh-CN"/>
              </w:rPr>
              <w:t>5万元，填写采购会审批时间</w:t>
            </w:r>
          </w:p>
        </w:tc>
      </w:tr>
      <w:tr w14:paraId="5CA2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14AEF3C">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评标方法</w:t>
            </w:r>
          </w:p>
        </w:tc>
        <w:tc>
          <w:tcPr>
            <w:tcW w:w="3400" w:type="dxa"/>
            <w:vAlign w:val="center"/>
          </w:tcPr>
          <w:p w14:paraId="7D02ADF4">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最低评标价法/综合评分法</w:t>
            </w:r>
          </w:p>
        </w:tc>
        <w:tc>
          <w:tcPr>
            <w:tcW w:w="1438" w:type="dxa"/>
            <w:vAlign w:val="center"/>
          </w:tcPr>
          <w:p w14:paraId="5A5C5351">
            <w:pPr>
              <w:pStyle w:val="2"/>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2"/>
                <w:szCs w:val="22"/>
                <w:u w:val="none"/>
                <w:vertAlign w:val="baseline"/>
                <w:lang w:val="en-US" w:eastAsia="zh-CN"/>
              </w:rPr>
              <w:t>专门面向中小微企业</w:t>
            </w:r>
          </w:p>
        </w:tc>
        <w:tc>
          <w:tcPr>
            <w:tcW w:w="3804" w:type="dxa"/>
            <w:vAlign w:val="center"/>
          </w:tcPr>
          <w:p w14:paraId="3BFF9762">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是/否</w:t>
            </w:r>
          </w:p>
        </w:tc>
      </w:tr>
      <w:tr w14:paraId="779DC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9940F36">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经办人</w:t>
            </w:r>
          </w:p>
        </w:tc>
        <w:tc>
          <w:tcPr>
            <w:tcW w:w="3400" w:type="dxa"/>
            <w:vAlign w:val="center"/>
          </w:tcPr>
          <w:p w14:paraId="05917AD8">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c>
          <w:tcPr>
            <w:tcW w:w="1438" w:type="dxa"/>
            <w:vAlign w:val="center"/>
          </w:tcPr>
          <w:p w14:paraId="11EC4F37">
            <w:pPr>
              <w:pStyle w:val="2"/>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联系方式</w:t>
            </w:r>
          </w:p>
        </w:tc>
        <w:tc>
          <w:tcPr>
            <w:tcW w:w="3804" w:type="dxa"/>
            <w:vAlign w:val="center"/>
          </w:tcPr>
          <w:p w14:paraId="3EAEA67F">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795A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7" w:type="dxa"/>
            <w:gridSpan w:val="4"/>
            <w:vAlign w:val="center"/>
          </w:tcPr>
          <w:p w14:paraId="57BBEF08">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黑体" w:hAnsi="黑体" w:eastAsia="黑体" w:cs="黑体"/>
                <w:b w:val="0"/>
                <w:bCs w:val="0"/>
                <w:sz w:val="26"/>
                <w:szCs w:val="26"/>
                <w:u w:val="none"/>
                <w:vertAlign w:val="baseline"/>
                <w:lang w:val="en-US" w:eastAsia="zh-CN"/>
              </w:rPr>
              <w:t>采购需求（方案）</w:t>
            </w:r>
          </w:p>
        </w:tc>
      </w:tr>
      <w:tr w14:paraId="5DA78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7" w:type="dxa"/>
            <w:gridSpan w:val="4"/>
            <w:vAlign w:val="center"/>
          </w:tcPr>
          <w:p w14:paraId="62D45C3C">
            <w:pPr>
              <w:spacing w:line="360" w:lineRule="auto"/>
              <w:jc w:val="center"/>
              <w:rPr>
                <w:rFonts w:ascii="宋体" w:hAnsi="宋体" w:cs="宋体"/>
                <w:b/>
                <w:bCs/>
                <w:color w:val="FF0000"/>
                <w:sz w:val="24"/>
              </w:rPr>
            </w:pPr>
            <w:r>
              <w:rPr>
                <w:rFonts w:hint="eastAsia" w:ascii="宋体" w:hAnsi="宋体" w:cs="宋体"/>
                <w:b/>
                <w:bCs/>
                <w:color w:val="FF0000"/>
                <w:sz w:val="24"/>
              </w:rPr>
              <w:t>（请在制作正式采购方案时删除本模板中所有红色</w:t>
            </w:r>
            <w:r>
              <w:rPr>
                <w:rFonts w:hint="eastAsia" w:ascii="宋体" w:hAnsi="宋体" w:cs="宋体"/>
                <w:b/>
                <w:bCs/>
                <w:color w:val="FF0000"/>
                <w:sz w:val="24"/>
                <w:lang w:val="en-US" w:eastAsia="zh-CN"/>
              </w:rPr>
              <w:t>文字，并根据项目实际情况修改标</w:t>
            </w:r>
            <w:r>
              <w:rPr>
                <w:rFonts w:hint="eastAsia" w:ascii="宋体" w:hAnsi="宋体" w:cs="宋体"/>
                <w:b/>
                <w:bCs/>
                <w:color w:val="FF0000"/>
                <w:sz w:val="24"/>
                <w:highlight w:val="none"/>
                <w:lang w:val="en-US" w:eastAsia="zh-CN"/>
              </w:rPr>
              <w:t>黄内容</w:t>
            </w:r>
            <w:r>
              <w:rPr>
                <w:rFonts w:hint="eastAsia" w:ascii="宋体" w:hAnsi="宋体" w:cs="宋体"/>
                <w:b/>
                <w:bCs/>
                <w:color w:val="FF0000"/>
                <w:sz w:val="24"/>
              </w:rPr>
              <w:t>）</w:t>
            </w:r>
          </w:p>
          <w:p w14:paraId="2B11C26D">
            <w:pPr>
              <w:spacing w:line="360" w:lineRule="auto"/>
              <w:jc w:val="center"/>
              <w:rPr>
                <w:rFonts w:ascii="宋体" w:hAnsi="宋体" w:cs="宋体"/>
                <w:b/>
                <w:bCs/>
                <w:color w:val="FF0000"/>
                <w:sz w:val="24"/>
              </w:rPr>
            </w:pPr>
          </w:p>
          <w:p w14:paraId="785D1A0A">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
                <w:sz w:val="26"/>
                <w:szCs w:val="26"/>
              </w:rPr>
              <w:t>一、招标</w:t>
            </w:r>
            <w:r>
              <w:rPr>
                <w:rFonts w:hint="eastAsia" w:ascii="仿宋_GB2312" w:hAnsi="仿宋_GB2312" w:eastAsia="仿宋_GB2312" w:cs="仿宋_GB2312"/>
                <w:b/>
                <w:sz w:val="26"/>
                <w:szCs w:val="26"/>
                <w:lang w:val="en-US" w:eastAsia="zh-CN"/>
              </w:rPr>
              <w:t>服务</w:t>
            </w:r>
            <w:r>
              <w:rPr>
                <w:rFonts w:hint="eastAsia" w:ascii="仿宋_GB2312" w:hAnsi="仿宋_GB2312" w:eastAsia="仿宋_GB2312" w:cs="仿宋_GB2312"/>
                <w:b/>
                <w:sz w:val="26"/>
                <w:szCs w:val="26"/>
              </w:rPr>
              <w:t>一览表</w:t>
            </w:r>
          </w:p>
          <w:tbl>
            <w:tblPr>
              <w:tblStyle w:val="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1326"/>
              <w:gridCol w:w="4176"/>
              <w:gridCol w:w="1909"/>
              <w:gridCol w:w="1759"/>
            </w:tblGrid>
            <w:tr w14:paraId="63907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502" w:type="pct"/>
                  <w:shd w:val="clear" w:color="auto" w:fill="auto"/>
                  <w:vAlign w:val="center"/>
                </w:tcPr>
                <w:p w14:paraId="7BAE646E">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kern w:val="0"/>
                      <w:sz w:val="26"/>
                      <w:szCs w:val="26"/>
                    </w:rPr>
                    <w:t>合同包</w:t>
                  </w:r>
                </w:p>
              </w:tc>
              <w:tc>
                <w:tcPr>
                  <w:tcW w:w="650" w:type="pct"/>
                  <w:shd w:val="clear" w:color="auto" w:fill="auto"/>
                  <w:vAlign w:val="center"/>
                </w:tcPr>
                <w:p w14:paraId="6E82F92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品目号</w:t>
                  </w:r>
                </w:p>
              </w:tc>
              <w:tc>
                <w:tcPr>
                  <w:tcW w:w="2048" w:type="pct"/>
                  <w:shd w:val="clear" w:color="auto" w:fill="auto"/>
                  <w:vAlign w:val="center"/>
                </w:tcPr>
                <w:p w14:paraId="64BBE24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sz w:val="26"/>
                      <w:szCs w:val="26"/>
                      <w:lang w:val="en-US" w:eastAsia="zh-CN"/>
                    </w:rPr>
                    <w:t>服务</w:t>
                  </w:r>
                  <w:r>
                    <w:rPr>
                      <w:rFonts w:hint="eastAsia" w:ascii="仿宋_GB2312" w:hAnsi="仿宋_GB2312" w:eastAsia="仿宋_GB2312" w:cs="仿宋_GB2312"/>
                      <w:b/>
                      <w:bCs w:val="0"/>
                      <w:color w:val="000000"/>
                      <w:sz w:val="26"/>
                      <w:szCs w:val="26"/>
                    </w:rPr>
                    <w:t>名称</w:t>
                  </w:r>
                </w:p>
              </w:tc>
              <w:tc>
                <w:tcPr>
                  <w:tcW w:w="936" w:type="pct"/>
                  <w:shd w:val="clear" w:color="auto" w:fill="auto"/>
                  <w:vAlign w:val="center"/>
                </w:tcPr>
                <w:p w14:paraId="5D9A2A1C">
                  <w:pPr>
                    <w:keepNext w:val="0"/>
                    <w:keepLines w:val="0"/>
                    <w:pageBreakBefore w:val="0"/>
                    <w:kinsoku/>
                    <w:wordWrap/>
                    <w:overflowPunct/>
                    <w:topLinePunct w:val="0"/>
                    <w:autoSpaceDE/>
                    <w:autoSpaceDN/>
                    <w:bidi w:val="0"/>
                    <w:adjustRightInd/>
                    <w:spacing w:line="460" w:lineRule="exact"/>
                    <w:jc w:val="center"/>
                    <w:rPr>
                      <w:rFonts w:hint="default" w:ascii="仿宋_GB2312" w:hAnsi="仿宋_GB2312" w:eastAsia="仿宋_GB2312" w:cs="仿宋_GB2312"/>
                      <w:b/>
                      <w:bCs w:val="0"/>
                      <w:color w:val="000000"/>
                      <w:sz w:val="26"/>
                      <w:szCs w:val="26"/>
                      <w:lang w:val="en-US" w:eastAsia="zh-CN"/>
                    </w:rPr>
                  </w:pPr>
                  <w:r>
                    <w:rPr>
                      <w:rFonts w:hint="eastAsia" w:ascii="仿宋_GB2312" w:hAnsi="仿宋_GB2312" w:eastAsia="仿宋_GB2312" w:cs="仿宋_GB2312"/>
                      <w:b/>
                      <w:bCs w:val="0"/>
                      <w:color w:val="000000"/>
                      <w:sz w:val="26"/>
                      <w:szCs w:val="26"/>
                      <w:lang w:val="en-US" w:eastAsia="zh-CN"/>
                    </w:rPr>
                    <w:t>服务期限</w:t>
                  </w:r>
                </w:p>
              </w:tc>
              <w:tc>
                <w:tcPr>
                  <w:tcW w:w="862" w:type="pct"/>
                  <w:shd w:val="clear" w:color="auto" w:fill="auto"/>
                  <w:vAlign w:val="center"/>
                </w:tcPr>
                <w:p w14:paraId="32758711">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sz w:val="26"/>
                      <w:szCs w:val="26"/>
                    </w:rPr>
                    <w:t>金额（元）</w:t>
                  </w:r>
                </w:p>
              </w:tc>
            </w:tr>
            <w:tr w14:paraId="42579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7" w:hRule="atLeast"/>
                <w:jc w:val="center"/>
              </w:trPr>
              <w:tc>
                <w:tcPr>
                  <w:tcW w:w="502" w:type="pct"/>
                  <w:vMerge w:val="restart"/>
                  <w:shd w:val="clear" w:color="auto" w:fill="auto"/>
                  <w:vAlign w:val="center"/>
                </w:tcPr>
                <w:p w14:paraId="122D32E0">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1</w:t>
                  </w:r>
                </w:p>
              </w:tc>
              <w:tc>
                <w:tcPr>
                  <w:tcW w:w="650" w:type="pct"/>
                  <w:shd w:val="clear" w:color="auto" w:fill="auto"/>
                  <w:vAlign w:val="center"/>
                </w:tcPr>
                <w:p w14:paraId="56D3BD87">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1-1</w:t>
                  </w:r>
                </w:p>
              </w:tc>
              <w:tc>
                <w:tcPr>
                  <w:tcW w:w="2048" w:type="pct"/>
                  <w:shd w:val="clear" w:color="auto" w:fill="auto"/>
                  <w:vAlign w:val="center"/>
                </w:tcPr>
                <w:p w14:paraId="557548B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p>
              </w:tc>
              <w:tc>
                <w:tcPr>
                  <w:tcW w:w="936" w:type="pct"/>
                  <w:shd w:val="clear" w:color="auto" w:fill="auto"/>
                  <w:vAlign w:val="center"/>
                </w:tcPr>
                <w:p w14:paraId="386CA7A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862" w:type="pct"/>
                  <w:shd w:val="clear" w:color="auto" w:fill="auto"/>
                  <w:vAlign w:val="center"/>
                </w:tcPr>
                <w:p w14:paraId="34183B1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28B1F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25C73CF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650" w:type="pct"/>
                  <w:shd w:val="clear" w:color="auto" w:fill="auto"/>
                  <w:vAlign w:val="center"/>
                </w:tcPr>
                <w:p w14:paraId="23F675E6">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1-2</w:t>
                  </w:r>
                </w:p>
              </w:tc>
              <w:tc>
                <w:tcPr>
                  <w:tcW w:w="2048" w:type="pct"/>
                  <w:shd w:val="clear" w:color="auto" w:fill="auto"/>
                  <w:vAlign w:val="center"/>
                </w:tcPr>
                <w:p w14:paraId="38C93FB2">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936" w:type="pct"/>
                  <w:shd w:val="clear" w:color="auto" w:fill="auto"/>
                  <w:vAlign w:val="center"/>
                </w:tcPr>
                <w:p w14:paraId="2A7C88B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862" w:type="pct"/>
                  <w:shd w:val="clear" w:color="auto" w:fill="auto"/>
                  <w:vAlign w:val="center"/>
                </w:tcPr>
                <w:p w14:paraId="7A79026D">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618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6948EA8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650" w:type="pct"/>
                  <w:shd w:val="clear" w:color="auto" w:fill="auto"/>
                  <w:vAlign w:val="center"/>
                </w:tcPr>
                <w:p w14:paraId="045896C2">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w:t>
                  </w:r>
                </w:p>
              </w:tc>
              <w:tc>
                <w:tcPr>
                  <w:tcW w:w="2048" w:type="pct"/>
                  <w:shd w:val="clear" w:color="auto" w:fill="auto"/>
                  <w:vAlign w:val="center"/>
                </w:tcPr>
                <w:p w14:paraId="514497C4">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936" w:type="pct"/>
                  <w:shd w:val="clear" w:color="auto" w:fill="auto"/>
                  <w:vAlign w:val="center"/>
                </w:tcPr>
                <w:p w14:paraId="05614A2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862" w:type="pct"/>
                  <w:shd w:val="clear" w:color="auto" w:fill="auto"/>
                  <w:vAlign w:val="center"/>
                </w:tcPr>
                <w:p w14:paraId="08E9682F">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064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52" w:type="pct"/>
                  <w:gridSpan w:val="2"/>
                  <w:shd w:val="clear" w:color="auto" w:fill="auto"/>
                  <w:vAlign w:val="center"/>
                </w:tcPr>
                <w:p w14:paraId="7CA2193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合计</w:t>
                  </w:r>
                </w:p>
              </w:tc>
              <w:tc>
                <w:tcPr>
                  <w:tcW w:w="3847" w:type="pct"/>
                  <w:gridSpan w:val="3"/>
                  <w:shd w:val="clear" w:color="auto" w:fill="auto"/>
                  <w:vAlign w:val="center"/>
                </w:tcPr>
                <w:p w14:paraId="1F5D1166">
                  <w:pPr>
                    <w:keepNext w:val="0"/>
                    <w:keepLines w:val="0"/>
                    <w:pageBreakBefore w:val="0"/>
                    <w:widowControl/>
                    <w:kinsoku/>
                    <w:wordWrap/>
                    <w:overflowPunct/>
                    <w:topLinePunct w:val="0"/>
                    <w:autoSpaceDE/>
                    <w:autoSpaceDN/>
                    <w:bidi w:val="0"/>
                    <w:adjustRightInd/>
                    <w:spacing w:line="460" w:lineRule="exact"/>
                    <w:ind w:firstLine="2600" w:firstLineChars="1000"/>
                    <w:rPr>
                      <w:rFonts w:hint="eastAsia" w:ascii="仿宋_GB2312" w:hAnsi="仿宋_GB2312" w:eastAsia="仿宋_GB2312" w:cs="仿宋_GB2312"/>
                      <w:color w:val="000000"/>
                      <w:sz w:val="26"/>
                      <w:szCs w:val="26"/>
                    </w:rPr>
                  </w:pPr>
                  <w:r>
                    <w:rPr>
                      <w:rFonts w:hint="eastAsia" w:ascii="仿宋_GB2312" w:hAnsi="仿宋_GB2312" w:eastAsia="仿宋_GB2312" w:cs="仿宋_GB2312"/>
                      <w:bCs/>
                      <w:color w:val="000000"/>
                      <w:sz w:val="26"/>
                      <w:szCs w:val="26"/>
                    </w:rPr>
                    <w:t>人民币</w:t>
                  </w:r>
                  <w:r>
                    <w:rPr>
                      <w:rFonts w:hint="eastAsia" w:ascii="仿宋_GB2312" w:hAnsi="仿宋_GB2312" w:eastAsia="仿宋_GB2312" w:cs="仿宋_GB2312"/>
                      <w:bCs/>
                      <w:color w:val="000000"/>
                      <w:sz w:val="26"/>
                      <w:szCs w:val="26"/>
                      <w:lang w:eastAsia="zh-CN"/>
                    </w:rPr>
                    <w:t>：</w:t>
                  </w:r>
                  <w:r>
                    <w:rPr>
                      <w:rFonts w:hint="eastAsia" w:ascii="仿宋_GB2312" w:hAnsi="仿宋_GB2312" w:eastAsia="仿宋_GB2312" w:cs="仿宋_GB2312"/>
                      <w:bCs/>
                      <w:color w:val="000000"/>
                      <w:sz w:val="26"/>
                      <w:szCs w:val="26"/>
                    </w:rPr>
                    <w:t xml:space="preserve">          元整（</w:t>
                  </w:r>
                  <w:r>
                    <w:rPr>
                      <w:rFonts w:hint="eastAsia" w:ascii="仿宋_GB2312" w:hAnsi="仿宋_GB2312" w:eastAsia="仿宋_GB2312" w:cs="仿宋_GB2312"/>
                      <w:bCs/>
                      <w:color w:val="000000"/>
                      <w:sz w:val="26"/>
                      <w:szCs w:val="26"/>
                      <w:lang w:val="en-US" w:eastAsia="zh-CN"/>
                    </w:rPr>
                    <w:t xml:space="preserve">大写：     </w:t>
                  </w:r>
                  <w:r>
                    <w:rPr>
                      <w:rFonts w:hint="eastAsia" w:ascii="仿宋_GB2312" w:hAnsi="仿宋_GB2312" w:eastAsia="仿宋_GB2312" w:cs="仿宋_GB2312"/>
                      <w:bCs/>
                      <w:color w:val="000000"/>
                      <w:sz w:val="26"/>
                      <w:szCs w:val="26"/>
                    </w:rPr>
                    <w:t>）</w:t>
                  </w:r>
                </w:p>
              </w:tc>
            </w:tr>
          </w:tbl>
          <w:p w14:paraId="29F5DE4F">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default" w:ascii="仿宋_GB2312" w:hAnsi="仿宋_GB2312" w:eastAsia="仿宋_GB2312" w:cs="仿宋_GB2312"/>
                <w:b/>
                <w:sz w:val="26"/>
                <w:szCs w:val="26"/>
                <w:lang w:val="en-US" w:eastAsia="zh-CN"/>
              </w:rPr>
            </w:pPr>
            <w:r>
              <w:rPr>
                <w:rFonts w:hint="eastAsia" w:ascii="仿宋_GB2312" w:hAnsi="仿宋_GB2312" w:eastAsia="仿宋_GB2312" w:cs="仿宋_GB2312"/>
                <w:b/>
                <w:sz w:val="26"/>
                <w:szCs w:val="26"/>
                <w:lang w:val="en-US" w:eastAsia="zh-CN"/>
              </w:rPr>
              <w:t>二、服务内容及相关要求</w:t>
            </w:r>
          </w:p>
          <w:p w14:paraId="5CE2E4CB">
            <w:pPr>
              <w:keepNext w:val="0"/>
              <w:keepLines w:val="0"/>
              <w:pageBreakBefore w:val="0"/>
              <w:kinsoku/>
              <w:wordWrap/>
              <w:overflowPunct/>
              <w:topLinePunct w:val="0"/>
              <w:autoSpaceDE/>
              <w:autoSpaceDN/>
              <w:bidi w:val="0"/>
              <w:adjustRightInd/>
              <w:spacing w:line="460" w:lineRule="exact"/>
              <w:ind w:firstLine="520" w:firstLineChars="200"/>
              <w:jc w:val="left"/>
              <w:rPr>
                <w:rFonts w:hint="default" w:ascii="仿宋_GB2312" w:hAnsi="仿宋_GB2312" w:eastAsia="仿宋_GB2312" w:cs="仿宋_GB2312"/>
                <w:bCs/>
                <w:color w:val="FF0000"/>
                <w:sz w:val="26"/>
                <w:szCs w:val="26"/>
                <w:lang w:val="en-US"/>
              </w:rPr>
            </w:pPr>
            <w:r>
              <w:rPr>
                <w:rFonts w:hint="eastAsia" w:ascii="仿宋_GB2312" w:hAnsi="仿宋_GB2312" w:eastAsia="仿宋_GB2312" w:cs="仿宋_GB2312"/>
                <w:bCs/>
                <w:color w:val="FF0000"/>
                <w:sz w:val="26"/>
                <w:szCs w:val="26"/>
                <w:lang w:val="en-US" w:eastAsia="zh-CN"/>
              </w:rPr>
              <w:t>详细描述项目基本情况、服务内容、服务要求、配套货物、技术参数......</w:t>
            </w:r>
          </w:p>
          <w:p w14:paraId="5F7F58A7">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default" w:ascii="仿宋_GB2312" w:hAnsi="仿宋_GB2312" w:eastAsia="仿宋_GB2312" w:cs="仿宋_GB2312"/>
                <w:b/>
                <w:sz w:val="26"/>
                <w:szCs w:val="26"/>
                <w:lang w:val="en-US" w:eastAsia="zh-CN"/>
              </w:rPr>
            </w:pPr>
            <w:r>
              <w:rPr>
                <w:rFonts w:hint="eastAsia" w:ascii="仿宋_GB2312" w:hAnsi="仿宋_GB2312" w:eastAsia="仿宋_GB2312" w:cs="仿宋_GB2312"/>
                <w:b/>
                <w:sz w:val="26"/>
                <w:szCs w:val="26"/>
                <w:lang w:val="en-US" w:eastAsia="zh-CN"/>
              </w:rPr>
              <w:t>三、服务资格要求</w:t>
            </w:r>
            <w:r>
              <w:rPr>
                <w:rFonts w:hint="eastAsia" w:asciiTheme="majorEastAsia" w:hAnsiTheme="majorEastAsia" w:eastAsiaTheme="majorEastAsia"/>
                <w:bCs/>
                <w:color w:val="FF0000"/>
                <w:sz w:val="24"/>
              </w:rPr>
              <w:t>（此要求是</w:t>
            </w:r>
            <w:r>
              <w:rPr>
                <w:rFonts w:hint="eastAsia" w:asciiTheme="majorEastAsia" w:hAnsiTheme="majorEastAsia" w:eastAsiaTheme="majorEastAsia"/>
                <w:bCs/>
                <w:color w:val="FF0000"/>
                <w:sz w:val="24"/>
                <w:lang w:val="en-US" w:eastAsia="zh-CN"/>
              </w:rPr>
              <w:t>指</w:t>
            </w:r>
            <w:r>
              <w:rPr>
                <w:rFonts w:hint="eastAsia" w:asciiTheme="majorEastAsia" w:hAnsiTheme="majorEastAsia" w:eastAsiaTheme="majorEastAsia"/>
                <w:bCs/>
                <w:color w:val="FF0000"/>
                <w:sz w:val="24"/>
              </w:rPr>
              <w:t>国家强制准入资格类的要求，若无特殊要求，可删除此条目）</w:t>
            </w:r>
          </w:p>
          <w:p w14:paraId="47AAEE09">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供应商应是在中国境内注册并具有法人资格，有能力提供采购货物及服务的制造商或经销商；</w:t>
            </w:r>
          </w:p>
          <w:p w14:paraId="2F7EEC1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w:t>
            </w:r>
          </w:p>
          <w:p w14:paraId="6BD06FA9">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color w:val="FF0000"/>
                <w:sz w:val="26"/>
                <w:szCs w:val="26"/>
                <w:lang w:val="en-US" w:eastAsia="zh-CN"/>
              </w:rPr>
            </w:pPr>
            <w:r>
              <w:rPr>
                <w:rFonts w:hint="eastAsia" w:ascii="仿宋_GB2312" w:hAnsi="仿宋_GB2312" w:eastAsia="仿宋_GB2312" w:cs="仿宋_GB2312"/>
                <w:b/>
                <w:sz w:val="26"/>
                <w:szCs w:val="26"/>
                <w:lang w:val="en-US" w:eastAsia="zh-CN"/>
              </w:rPr>
              <w:t>四、综合评分法评分要求</w:t>
            </w:r>
            <w:r>
              <w:rPr>
                <w:rFonts w:hint="eastAsia" w:ascii="仿宋_GB2312" w:hAnsi="仿宋_GB2312" w:eastAsia="仿宋_GB2312" w:cs="仿宋_GB2312"/>
                <w:b/>
                <w:color w:val="FF0000"/>
                <w:sz w:val="26"/>
                <w:szCs w:val="26"/>
                <w:lang w:val="en-US" w:eastAsia="zh-CN"/>
              </w:rPr>
              <w:t>（若项目为最低评标价法评标，可删除此部分内容）</w:t>
            </w:r>
          </w:p>
          <w:p w14:paraId="4B22425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1.评标委员会将对具有实际性响应的投标人按价格、商务和技术三部份进行评估，以综合评分的方法确定中标供应商，最高分确定为中标候选人，若有相同的最高得分，则其中投标总价最低的投标人将被推荐为</w:t>
            </w:r>
            <w:r>
              <w:rPr>
                <w:rFonts w:hint="eastAsia" w:ascii="宋体" w:hAnsi="宋体" w:cs="宋体"/>
                <w:color w:val="auto"/>
                <w:kern w:val="0"/>
                <w:sz w:val="24"/>
                <w:szCs w:val="24"/>
                <w:highlight w:val="none"/>
                <w:lang w:val="en-US" w:eastAsia="zh-CN" w:bidi="ar-SA"/>
              </w:rPr>
              <w:t>中标人</w:t>
            </w:r>
            <w:r>
              <w:rPr>
                <w:rFonts w:hint="eastAsia" w:ascii="宋体" w:hAnsi="宋体" w:eastAsia="宋体" w:cs="宋体"/>
                <w:color w:val="auto"/>
                <w:kern w:val="0"/>
                <w:sz w:val="24"/>
                <w:szCs w:val="24"/>
                <w:highlight w:val="none"/>
                <w:lang w:val="en-US" w:eastAsia="zh-CN" w:bidi="ar-SA"/>
              </w:rPr>
              <w:t>候选人。</w:t>
            </w:r>
          </w:p>
          <w:p w14:paraId="66768F6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color w:val="auto"/>
                <w:kern w:val="0"/>
                <w:sz w:val="24"/>
                <w:szCs w:val="24"/>
                <w:highlight w:val="none"/>
                <w:lang w:val="en-US" w:eastAsia="zh-CN" w:bidi="ar-SA"/>
              </w:rPr>
              <w:t>2.若出现综合得分又相同的最高得分且报价也相同，则按技术部分得分高低顺序推荐中标候选人。若技术部分依旧相同，</w:t>
            </w:r>
            <w:r>
              <w:rPr>
                <w:rFonts w:hint="eastAsia" w:ascii="宋体" w:hAnsi="宋体" w:eastAsia="宋体" w:cs="宋体"/>
                <w:kern w:val="0"/>
                <w:sz w:val="24"/>
                <w:szCs w:val="24"/>
                <w:lang w:val="en-US" w:eastAsia="zh-CN" w:bidi="ar-SA"/>
              </w:rPr>
              <w:t>评委会将以随机现场抽取的方式确定中标选人。</w:t>
            </w:r>
          </w:p>
          <w:p w14:paraId="0240E88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b/>
                <w:bCs/>
                <w:kern w:val="0"/>
                <w:sz w:val="24"/>
                <w:szCs w:val="24"/>
                <w:lang w:val="en-US" w:eastAsia="zh-CN" w:bidi="ar-SA"/>
              </w:rPr>
            </w:pPr>
            <w:r>
              <w:rPr>
                <w:rFonts w:hint="eastAsia" w:ascii="宋体" w:hAnsi="宋体" w:eastAsia="宋体" w:cs="宋体"/>
                <w:kern w:val="0"/>
                <w:sz w:val="24"/>
                <w:szCs w:val="24"/>
                <w:lang w:val="en-US" w:eastAsia="zh-CN" w:bidi="ar-SA"/>
              </w:rPr>
              <w:t>3.</w:t>
            </w:r>
            <w:r>
              <w:rPr>
                <w:rFonts w:hint="eastAsia" w:ascii="宋体" w:hAnsi="宋体" w:eastAsia="宋体" w:cs="宋体"/>
                <w:b/>
                <w:bCs/>
                <w:kern w:val="0"/>
                <w:sz w:val="24"/>
                <w:szCs w:val="24"/>
                <w:lang w:val="en-US" w:eastAsia="zh-CN" w:bidi="ar-SA"/>
              </w:rPr>
              <w:t>本项目推选1名中标候选人。</w:t>
            </w:r>
          </w:p>
          <w:p w14:paraId="7112131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ascii="宋体" w:hAnsi="宋体" w:eastAsia="宋体" w:cs="宋体"/>
                <w:kern w:val="0"/>
                <w:sz w:val="24"/>
                <w:szCs w:val="24"/>
                <w:lang w:val="en-US" w:eastAsia="zh-CN" w:bidi="ar-SA"/>
              </w:rPr>
            </w:pPr>
            <w:r>
              <w:rPr>
                <w:rFonts w:hint="eastAsia" w:ascii="宋体" w:hAnsi="宋体" w:eastAsia="宋体" w:cs="宋体"/>
                <w:b w:val="0"/>
                <w:bCs w:val="0"/>
                <w:kern w:val="0"/>
                <w:sz w:val="24"/>
                <w:szCs w:val="24"/>
                <w:lang w:val="en-US" w:eastAsia="zh-CN" w:bidi="ar-SA"/>
              </w:rPr>
              <w:t>4.</w:t>
            </w:r>
            <w:r>
              <w:rPr>
                <w:rFonts w:hint="eastAsia" w:ascii="宋体" w:hAnsi="宋体" w:eastAsia="宋体" w:cs="宋体"/>
                <w:color w:val="auto"/>
                <w:kern w:val="0"/>
                <w:sz w:val="24"/>
                <w:szCs w:val="24"/>
                <w:highlight w:val="none"/>
                <w:lang w:val="en-US" w:eastAsia="zh-CN" w:bidi="ar-SA"/>
              </w:rPr>
              <w:t>综合评分法将按商务部分、技术部分、投标价格部分分别进行评分：</w:t>
            </w:r>
          </w:p>
          <w:p w14:paraId="3FDC7E88">
            <w:pPr>
              <w:tabs>
                <w:tab w:val="left" w:pos="-1080"/>
                <w:tab w:val="left" w:pos="180"/>
                <w:tab w:val="left" w:pos="1080"/>
              </w:tabs>
              <w:snapToGrid w:val="0"/>
              <w:spacing w:line="438" w:lineRule="exact"/>
              <w:ind w:firstLine="480" w:firstLineChars="200"/>
              <w:jc w:val="left"/>
              <w:rPr>
                <w:rFonts w:ascii="宋体" w:hAnsi="宋体" w:eastAsia="宋体" w:cs="Times New Roman"/>
                <w:sz w:val="24"/>
                <w:szCs w:val="20"/>
                <w:shd w:val="clear" w:color="FFFFFF" w:fill="D9D9D9"/>
              </w:rPr>
            </w:pPr>
            <w:r>
              <w:rPr>
                <w:rFonts w:hint="eastAsia" w:ascii="宋体" w:hAnsi="宋体" w:eastAsia="宋体" w:cs="Times New Roman"/>
                <w:sz w:val="24"/>
                <w:szCs w:val="20"/>
                <w:lang w:val="en-US" w:eastAsia="zh-CN"/>
              </w:rPr>
              <w:t>A</w:t>
            </w:r>
            <w:r>
              <w:rPr>
                <w:rFonts w:hint="eastAsia" w:ascii="宋体" w:hAnsi="宋体" w:eastAsia="宋体" w:cs="Times New Roman"/>
                <w:sz w:val="24"/>
                <w:szCs w:val="20"/>
              </w:rPr>
              <w:t xml:space="preserve"> ：技术部分评分           满分</w:t>
            </w:r>
            <w:r>
              <w:rPr>
                <w:rFonts w:hint="eastAsia" w:ascii="宋体" w:hAnsi="宋体" w:eastAsia="宋体" w:cs="Times New Roman"/>
                <w:sz w:val="24"/>
                <w:szCs w:val="20"/>
                <w:shd w:val="clear" w:color="FFFFFF" w:fill="D9D9D9"/>
                <w:lang w:val="en-US" w:eastAsia="zh-CN"/>
              </w:rPr>
              <w:t xml:space="preserve">    </w:t>
            </w:r>
            <w:r>
              <w:rPr>
                <w:rFonts w:hint="eastAsia" w:ascii="宋体" w:hAnsi="宋体" w:eastAsia="宋体" w:cs="Times New Roman"/>
                <w:sz w:val="24"/>
                <w:szCs w:val="20"/>
                <w:shd w:val="clear" w:color="FFFFFF" w:fill="D9D9D9"/>
              </w:rPr>
              <w:t>分</w:t>
            </w:r>
          </w:p>
          <w:p w14:paraId="31BA53C5">
            <w:pPr>
              <w:tabs>
                <w:tab w:val="left" w:pos="-1080"/>
                <w:tab w:val="left" w:pos="180"/>
                <w:tab w:val="left" w:pos="1080"/>
              </w:tabs>
              <w:snapToGrid w:val="0"/>
              <w:spacing w:line="438" w:lineRule="exact"/>
              <w:ind w:firstLine="480" w:firstLineChars="200"/>
              <w:jc w:val="left"/>
              <w:rPr>
                <w:rFonts w:hint="eastAsia" w:ascii="宋体" w:hAnsi="宋体" w:eastAsia="宋体" w:cs="Times New Roman"/>
                <w:sz w:val="24"/>
                <w:szCs w:val="20"/>
              </w:rPr>
            </w:pPr>
            <w:r>
              <w:rPr>
                <w:rFonts w:hint="eastAsia" w:ascii="宋体" w:hAnsi="宋体" w:eastAsia="宋体" w:cs="Times New Roman"/>
                <w:sz w:val="24"/>
                <w:szCs w:val="20"/>
                <w:lang w:val="en-US" w:eastAsia="zh-CN"/>
              </w:rPr>
              <w:t>B</w:t>
            </w:r>
            <w:r>
              <w:rPr>
                <w:rFonts w:hint="eastAsia" w:ascii="宋体" w:hAnsi="宋体" w:eastAsia="宋体" w:cs="Times New Roman"/>
                <w:sz w:val="24"/>
                <w:szCs w:val="20"/>
              </w:rPr>
              <w:t xml:space="preserve"> ：商务部分评分           满分</w:t>
            </w:r>
            <w:r>
              <w:rPr>
                <w:rFonts w:hint="eastAsia" w:ascii="宋体" w:hAnsi="宋体" w:eastAsia="宋体" w:cs="Times New Roman"/>
                <w:sz w:val="24"/>
                <w:szCs w:val="20"/>
                <w:shd w:val="clear" w:color="FFFFFF" w:fill="D9D9D9"/>
                <w:lang w:val="en-US" w:eastAsia="zh-CN"/>
              </w:rPr>
              <w:t xml:space="preserve">    </w:t>
            </w:r>
            <w:r>
              <w:rPr>
                <w:rFonts w:hint="eastAsia" w:ascii="宋体" w:hAnsi="宋体" w:eastAsia="宋体" w:cs="Times New Roman"/>
                <w:sz w:val="24"/>
                <w:szCs w:val="20"/>
                <w:shd w:val="clear" w:color="FFFFFF" w:fill="D9D9D9"/>
              </w:rPr>
              <w:t>分</w:t>
            </w:r>
          </w:p>
          <w:p w14:paraId="57EB1905">
            <w:pPr>
              <w:tabs>
                <w:tab w:val="left" w:pos="-1080"/>
                <w:tab w:val="left" w:pos="180"/>
                <w:tab w:val="left" w:pos="1080"/>
              </w:tabs>
              <w:snapToGrid w:val="0"/>
              <w:spacing w:line="438" w:lineRule="exact"/>
              <w:ind w:firstLine="480" w:firstLineChars="200"/>
              <w:jc w:val="left"/>
              <w:rPr>
                <w:rFonts w:hint="eastAsia" w:ascii="宋体" w:hAnsi="宋体" w:eastAsia="宋体" w:cs="Times New Roman"/>
                <w:sz w:val="24"/>
                <w:szCs w:val="20"/>
              </w:rPr>
            </w:pPr>
            <w:r>
              <w:rPr>
                <w:rFonts w:hint="eastAsia" w:ascii="宋体" w:hAnsi="宋体" w:eastAsia="宋体" w:cs="Times New Roman"/>
                <w:sz w:val="24"/>
                <w:szCs w:val="20"/>
                <w:lang w:val="en-US" w:eastAsia="zh-CN"/>
              </w:rPr>
              <w:t>C</w:t>
            </w:r>
            <w:r>
              <w:rPr>
                <w:rFonts w:hint="eastAsia" w:ascii="宋体" w:hAnsi="宋体" w:eastAsia="宋体" w:cs="Times New Roman"/>
                <w:sz w:val="24"/>
                <w:szCs w:val="20"/>
              </w:rPr>
              <w:t xml:space="preserve"> ：报价部分评分           满分</w:t>
            </w:r>
            <w:r>
              <w:rPr>
                <w:rFonts w:hint="eastAsia" w:ascii="宋体" w:hAnsi="宋体" w:eastAsia="宋体" w:cs="Times New Roman"/>
                <w:sz w:val="24"/>
                <w:szCs w:val="20"/>
                <w:shd w:val="clear" w:color="FFFFFF" w:fill="D9D9D9"/>
                <w:lang w:val="en-US" w:eastAsia="zh-CN"/>
              </w:rPr>
              <w:t xml:space="preserve">    </w:t>
            </w:r>
            <w:r>
              <w:rPr>
                <w:rFonts w:hint="eastAsia" w:ascii="宋体" w:hAnsi="宋体" w:eastAsia="宋体" w:cs="Times New Roman"/>
                <w:sz w:val="24"/>
                <w:szCs w:val="20"/>
                <w:shd w:val="clear" w:color="FFFFFF" w:fill="D9D9D9"/>
              </w:rPr>
              <w:t>分</w:t>
            </w:r>
          </w:p>
          <w:p w14:paraId="1173CBE5">
            <w:pPr>
              <w:spacing w:line="398"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合计总分100分。</w:t>
            </w:r>
          </w:p>
          <w:p w14:paraId="79CC79F1">
            <w:pPr>
              <w:spacing w:line="398"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评标委员会将按比较与评价最优在先原则, 排列评价顺序, 根据在投标人须知前附表中确定的中标候选人数量推荐出中标候选人。</w:t>
            </w:r>
          </w:p>
          <w:p w14:paraId="5B41A059">
            <w:pPr>
              <w:spacing w:line="398" w:lineRule="exact"/>
              <w:rPr>
                <w:rFonts w:hint="eastAsia" w:ascii="宋体" w:hAnsi="宋体" w:eastAsia="宋体" w:cs="Times New Roman"/>
                <w:b/>
                <w:snapToGrid w:val="0"/>
                <w:kern w:val="0"/>
                <w:sz w:val="24"/>
                <w:szCs w:val="24"/>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评标总得分T=A+B+C</w:t>
            </w:r>
            <w:r>
              <w:rPr>
                <w:rFonts w:hint="eastAsia" w:ascii="宋体" w:hAnsi="宋体" w:eastAsia="宋体" w:cs="宋体"/>
                <w:color w:val="auto"/>
                <w:sz w:val="24"/>
                <w:szCs w:val="24"/>
                <w:highlight w:val="none"/>
              </w:rPr>
              <w:t xml:space="preserve">               注：评标总得分保留小数点后2位。 </w:t>
            </w:r>
          </w:p>
          <w:tbl>
            <w:tblPr>
              <w:tblStyle w:val="8"/>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509"/>
              <w:gridCol w:w="6856"/>
              <w:gridCol w:w="764"/>
            </w:tblGrid>
            <w:tr w14:paraId="080EF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5487590C">
                  <w:pPr>
                    <w:spacing w:line="360" w:lineRule="auto"/>
                    <w:rPr>
                      <w:rFonts w:hint="eastAsia" w:ascii="宋体" w:hAnsi="宋体" w:eastAsia="宋体" w:cs="宋体"/>
                      <w:bCs/>
                      <w:sz w:val="24"/>
                      <w:szCs w:val="24"/>
                    </w:rPr>
                  </w:pPr>
                  <w:r>
                    <w:rPr>
                      <w:rFonts w:hint="eastAsia" w:ascii="宋体" w:hAnsi="宋体" w:eastAsia="宋体" w:cs="宋体"/>
                      <w:bCs/>
                      <w:kern w:val="0"/>
                      <w:sz w:val="24"/>
                      <w:szCs w:val="24"/>
                    </w:rPr>
                    <w:t>A：技术部分评分（总分</w:t>
                  </w:r>
                  <w:r>
                    <w:rPr>
                      <w:rFonts w:hint="eastAsia" w:ascii="宋体" w:hAnsi="宋体" w:eastAsia="宋体" w:cs="宋体"/>
                      <w:bCs/>
                      <w:kern w:val="0"/>
                      <w:sz w:val="24"/>
                      <w:szCs w:val="24"/>
                      <w:shd w:val="clear" w:color="FFFFFF" w:fill="D9D9D9"/>
                      <w:lang w:val="en-US" w:eastAsia="zh-CN"/>
                    </w:rPr>
                    <w:t xml:space="preserve">     </w:t>
                  </w:r>
                  <w:r>
                    <w:rPr>
                      <w:rFonts w:hint="eastAsia" w:ascii="宋体" w:hAnsi="宋体" w:eastAsia="宋体" w:cs="宋体"/>
                      <w:bCs/>
                      <w:kern w:val="0"/>
                      <w:sz w:val="24"/>
                      <w:szCs w:val="24"/>
                    </w:rPr>
                    <w:t>分）</w:t>
                  </w:r>
                </w:p>
              </w:tc>
            </w:tr>
            <w:tr w14:paraId="45C6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10F334E1">
                  <w:pPr>
                    <w:spacing w:line="360" w:lineRule="auto"/>
                    <w:rPr>
                      <w:rFonts w:hint="eastAsia" w:ascii="宋体" w:hAnsi="宋体" w:eastAsia="宋体" w:cs="宋体"/>
                      <w:bCs/>
                      <w:kern w:val="0"/>
                      <w:sz w:val="24"/>
                      <w:szCs w:val="24"/>
                    </w:rPr>
                  </w:pPr>
                  <w:r>
                    <w:rPr>
                      <w:rFonts w:hint="eastAsia" w:ascii="宋体" w:hAnsi="宋体" w:eastAsia="宋体" w:cs="宋体"/>
                      <w:bCs/>
                      <w:kern w:val="0"/>
                      <w:sz w:val="24"/>
                      <w:szCs w:val="24"/>
                    </w:rPr>
                    <w:t>注：</w:t>
                  </w:r>
                </w:p>
                <w:p w14:paraId="6598940F">
                  <w:pPr>
                    <w:spacing w:line="360" w:lineRule="auto"/>
                    <w:ind w:firstLine="236" w:firstLineChars="98"/>
                    <w:rPr>
                      <w:rFonts w:hint="eastAsia" w:ascii="宋体" w:hAnsi="宋体" w:eastAsia="宋体" w:cs="宋体"/>
                      <w:bCs/>
                      <w:kern w:val="0"/>
                      <w:sz w:val="24"/>
                      <w:szCs w:val="24"/>
                    </w:rPr>
                  </w:pPr>
                  <w:r>
                    <w:rPr>
                      <w:rFonts w:hint="eastAsia" w:ascii="宋体" w:hAnsi="宋体" w:eastAsia="宋体" w:cs="宋体"/>
                      <w:b/>
                      <w:kern w:val="0"/>
                      <w:sz w:val="24"/>
                      <w:szCs w:val="24"/>
                    </w:rPr>
                    <w:t>1、若投标人的技术部分（A项）实际得分少于招标文件设定的技术部分总分50%（即</w:t>
                  </w:r>
                  <w:r>
                    <w:rPr>
                      <w:rFonts w:hint="eastAsia" w:ascii="宋体" w:hAnsi="宋体" w:eastAsia="宋体" w:cs="宋体"/>
                      <w:b/>
                      <w:kern w:val="0"/>
                      <w:sz w:val="24"/>
                      <w:szCs w:val="24"/>
                      <w:shd w:val="clear" w:color="FFFFFF" w:fill="D9D9D9"/>
                      <w:lang w:val="en-US" w:eastAsia="zh-CN"/>
                    </w:rPr>
                    <w:t xml:space="preserve">    </w:t>
                  </w:r>
                  <w:r>
                    <w:rPr>
                      <w:rFonts w:hint="eastAsia" w:ascii="宋体" w:hAnsi="宋体" w:eastAsia="宋体" w:cs="宋体"/>
                      <w:b/>
                      <w:kern w:val="0"/>
                      <w:sz w:val="24"/>
                      <w:szCs w:val="24"/>
                      <w:shd w:val="clear" w:color="FFFFFF" w:fill="D9D9D9"/>
                    </w:rPr>
                    <w:t>分</w:t>
                  </w:r>
                  <w:r>
                    <w:rPr>
                      <w:rFonts w:hint="eastAsia" w:ascii="宋体" w:hAnsi="宋体" w:eastAsia="宋体" w:cs="宋体"/>
                      <w:b/>
                      <w:kern w:val="0"/>
                      <w:sz w:val="24"/>
                      <w:szCs w:val="24"/>
                    </w:rPr>
                    <w:t>），即视为技术部分未实质性响应招标文件要求，按无效投标处理。</w:t>
                  </w:r>
                </w:p>
              </w:tc>
            </w:tr>
            <w:tr w14:paraId="688C5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7F670768">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序号</w:t>
                  </w:r>
                </w:p>
              </w:tc>
              <w:tc>
                <w:tcPr>
                  <w:tcW w:w="1509" w:type="dxa"/>
                  <w:noWrap w:val="0"/>
                  <w:vAlign w:val="center"/>
                </w:tcPr>
                <w:p w14:paraId="120DF902">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评分项目</w:t>
                  </w:r>
                </w:p>
              </w:tc>
              <w:tc>
                <w:tcPr>
                  <w:tcW w:w="6856" w:type="dxa"/>
                  <w:noWrap w:val="0"/>
                  <w:vAlign w:val="center"/>
                </w:tcPr>
                <w:p w14:paraId="6859A1AD">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评分标准</w:t>
                  </w:r>
                </w:p>
              </w:tc>
              <w:tc>
                <w:tcPr>
                  <w:tcW w:w="764" w:type="dxa"/>
                  <w:noWrap w:val="0"/>
                  <w:vAlign w:val="center"/>
                </w:tcPr>
                <w:p w14:paraId="557F336F">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分数</w:t>
                  </w:r>
                </w:p>
              </w:tc>
            </w:tr>
            <w:tr w14:paraId="3DB8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79C67AFB">
                  <w:pPr>
                    <w:snapToGrid w:val="0"/>
                    <w:spacing w:line="360" w:lineRule="auto"/>
                    <w:jc w:val="center"/>
                    <w:rPr>
                      <w:rFonts w:hint="eastAsia" w:ascii="宋体" w:hAnsi="宋体" w:eastAsia="宋体" w:cs="宋体"/>
                      <w:bCs/>
                      <w:sz w:val="24"/>
                      <w:szCs w:val="24"/>
                    </w:rPr>
                  </w:pPr>
                  <w:r>
                    <w:rPr>
                      <w:rFonts w:hint="eastAsia" w:ascii="宋体" w:hAnsi="宋体" w:eastAsia="宋体" w:cs="宋体"/>
                      <w:bCs/>
                      <w:snapToGrid w:val="0"/>
                      <w:kern w:val="0"/>
                      <w:sz w:val="24"/>
                      <w:szCs w:val="24"/>
                    </w:rPr>
                    <w:t>A</w:t>
                  </w:r>
                  <w:r>
                    <w:rPr>
                      <w:rFonts w:hint="eastAsia" w:ascii="宋体" w:hAnsi="宋体" w:eastAsia="宋体" w:cs="宋体"/>
                      <w:bCs/>
                      <w:sz w:val="24"/>
                      <w:szCs w:val="24"/>
                    </w:rPr>
                    <w:t>1</w:t>
                  </w:r>
                </w:p>
              </w:tc>
              <w:tc>
                <w:tcPr>
                  <w:tcW w:w="1509" w:type="dxa"/>
                  <w:noWrap w:val="0"/>
                  <w:vAlign w:val="center"/>
                </w:tcPr>
                <w:p w14:paraId="24D668F6">
                  <w:pPr>
                    <w:snapToGrid w:val="0"/>
                    <w:spacing w:line="360" w:lineRule="auto"/>
                    <w:jc w:val="center"/>
                    <w:rPr>
                      <w:rFonts w:hint="eastAsia" w:ascii="宋体" w:hAnsi="宋体" w:eastAsia="宋体" w:cs="Times New Roman"/>
                      <w:bCs/>
                      <w:sz w:val="24"/>
                      <w:szCs w:val="20"/>
                    </w:rPr>
                  </w:pPr>
                  <w:r>
                    <w:rPr>
                      <w:rFonts w:hint="eastAsia" w:ascii="宋体" w:hAnsi="宋体" w:eastAsia="宋体" w:cs="Times New Roman"/>
                      <w:bCs/>
                      <w:sz w:val="24"/>
                      <w:szCs w:val="20"/>
                    </w:rPr>
                    <w:t>技术和服务要求响应</w:t>
                  </w:r>
                </w:p>
                <w:p w14:paraId="3F5604D0">
                  <w:pPr>
                    <w:snapToGrid w:val="0"/>
                    <w:spacing w:line="360" w:lineRule="auto"/>
                    <w:jc w:val="center"/>
                    <w:rPr>
                      <w:rFonts w:hint="eastAsia" w:ascii="宋体" w:hAnsi="宋体" w:eastAsia="宋体" w:cs="宋体"/>
                      <w:bCs/>
                      <w:sz w:val="24"/>
                      <w:szCs w:val="24"/>
                    </w:rPr>
                  </w:pPr>
                  <w:r>
                    <w:rPr>
                      <w:rFonts w:hint="eastAsia" w:ascii="宋体" w:hAnsi="宋体" w:eastAsia="宋体" w:cs="Times New Roman"/>
                      <w:bCs/>
                      <w:sz w:val="24"/>
                      <w:szCs w:val="20"/>
                    </w:rPr>
                    <w:t>情况</w:t>
                  </w:r>
                </w:p>
              </w:tc>
              <w:tc>
                <w:tcPr>
                  <w:tcW w:w="6856" w:type="dxa"/>
                  <w:noWrap w:val="0"/>
                  <w:vAlign w:val="center"/>
                </w:tcPr>
                <w:p w14:paraId="3268EE68">
                  <w:pPr>
                    <w:tabs>
                      <w:tab w:val="left" w:pos="18"/>
                    </w:tabs>
                    <w:spacing w:line="360" w:lineRule="auto"/>
                    <w:rPr>
                      <w:rFonts w:hint="eastAsia" w:ascii="宋体" w:hAnsi="宋体" w:eastAsia="宋体" w:cs="宋体"/>
                      <w:bCs/>
                      <w:sz w:val="24"/>
                      <w:szCs w:val="24"/>
                    </w:rPr>
                  </w:pPr>
                  <w:r>
                    <w:rPr>
                      <w:rFonts w:hint="eastAsia" w:ascii="宋体" w:hAnsi="宋体" w:eastAsia="宋体" w:cs="Times New Roman"/>
                      <w:sz w:val="24"/>
                      <w:szCs w:val="20"/>
                    </w:rPr>
                    <w:t>评标委员会将综合考虑各投标方对所投设备的说明情况，以及对招标文件响应情况等方面。由评委对招标文件中的技术要求进行比较，对所投标设备的参数是否正偏离与负偏离做出评价，技术参数全部符合招标文件要求的得基本分</w:t>
                  </w:r>
                  <w:r>
                    <w:rPr>
                      <w:rFonts w:hint="eastAsia" w:ascii="宋体" w:hAnsi="宋体" w:eastAsia="宋体" w:cs="Times New Roman"/>
                      <w:sz w:val="24"/>
                      <w:szCs w:val="20"/>
                      <w:lang w:val="en-US" w:eastAsia="zh-CN"/>
                    </w:rPr>
                    <w:t xml:space="preserve">   </w:t>
                  </w:r>
                  <w:r>
                    <w:rPr>
                      <w:rFonts w:hint="eastAsia" w:ascii="宋体" w:hAnsi="宋体" w:eastAsia="宋体" w:cs="Times New Roman"/>
                      <w:sz w:val="24"/>
                      <w:szCs w:val="20"/>
                    </w:rPr>
                    <w:t>分，正偏离不加分，</w:t>
                  </w:r>
                  <w:r>
                    <w:rPr>
                      <w:rFonts w:ascii="宋体" w:hAnsi="宋体" w:eastAsia="宋体" w:cs="宋体"/>
                      <w:color w:val="000000"/>
                      <w:kern w:val="0"/>
                      <w:sz w:val="24"/>
                      <w:szCs w:val="20"/>
                    </w:rPr>
                    <w:t>加▲号的参数为重要参数，每负偏离或不响应一项扣</w:t>
                  </w:r>
                  <w:r>
                    <w:rPr>
                      <w:rFonts w:hint="eastAsia" w:ascii="宋体" w:hAnsi="宋体" w:eastAsia="宋体" w:cs="宋体"/>
                      <w:color w:val="000000"/>
                      <w:kern w:val="0"/>
                      <w:sz w:val="24"/>
                      <w:szCs w:val="20"/>
                      <w:lang w:val="en-US" w:eastAsia="zh-CN"/>
                    </w:rPr>
                    <w:t xml:space="preserve">   </w:t>
                  </w:r>
                  <w:r>
                    <w:rPr>
                      <w:rFonts w:ascii="宋体" w:hAnsi="宋体" w:eastAsia="宋体" w:cs="宋体"/>
                      <w:color w:val="000000"/>
                      <w:kern w:val="0"/>
                      <w:sz w:val="24"/>
                      <w:szCs w:val="20"/>
                    </w:rPr>
                    <w:t>分；其余未加▲号的参数每负偏离或不响应一项扣</w:t>
                  </w:r>
                  <w:r>
                    <w:rPr>
                      <w:rFonts w:hint="eastAsia" w:ascii="宋体" w:hAnsi="宋体" w:eastAsia="宋体" w:cs="宋体"/>
                      <w:color w:val="000000"/>
                      <w:kern w:val="0"/>
                      <w:sz w:val="24"/>
                      <w:szCs w:val="20"/>
                      <w:lang w:val="en-US" w:eastAsia="zh-CN"/>
                    </w:rPr>
                    <w:t xml:space="preserve">  </w:t>
                  </w:r>
                  <w:r>
                    <w:rPr>
                      <w:rFonts w:ascii="宋体" w:hAnsi="宋体" w:eastAsia="宋体" w:cs="宋体"/>
                      <w:color w:val="000000"/>
                      <w:kern w:val="0"/>
                      <w:sz w:val="24"/>
                      <w:szCs w:val="20"/>
                    </w:rPr>
                    <w:t>分，扣完为止。</w:t>
                  </w:r>
                </w:p>
              </w:tc>
              <w:tc>
                <w:tcPr>
                  <w:tcW w:w="764" w:type="dxa"/>
                  <w:noWrap w:val="0"/>
                  <w:vAlign w:val="center"/>
                </w:tcPr>
                <w:p w14:paraId="479096C6">
                  <w:pPr>
                    <w:snapToGrid w:val="0"/>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 xml:space="preserve"> </w:t>
                  </w:r>
                </w:p>
              </w:tc>
            </w:tr>
            <w:tr w14:paraId="6980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3A7CBFBA">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A2</w:t>
                  </w:r>
                </w:p>
              </w:tc>
              <w:tc>
                <w:tcPr>
                  <w:tcW w:w="1509" w:type="dxa"/>
                  <w:noWrap w:val="0"/>
                  <w:vAlign w:val="center"/>
                </w:tcPr>
                <w:p w14:paraId="4545AA54">
                  <w:pPr>
                    <w:snapToGrid w:val="0"/>
                    <w:spacing w:line="360" w:lineRule="auto"/>
                    <w:jc w:val="center"/>
                    <w:rPr>
                      <w:rFonts w:hint="eastAsia" w:ascii="宋体" w:hAnsi="宋体" w:eastAsia="宋体" w:cs="宋体"/>
                      <w:bCs/>
                      <w:color w:val="auto"/>
                      <w:sz w:val="24"/>
                      <w:szCs w:val="24"/>
                      <w:highlight w:val="yellow"/>
                      <w:lang w:val="en-US" w:eastAsia="zh-CN"/>
                    </w:rPr>
                  </w:pPr>
                  <w:r>
                    <w:rPr>
                      <w:rFonts w:hint="eastAsia" w:ascii="宋体" w:hAnsi="宋体" w:eastAsia="宋体" w:cs="宋体"/>
                      <w:bCs/>
                      <w:color w:val="auto"/>
                      <w:sz w:val="24"/>
                      <w:szCs w:val="20"/>
                      <w:highlight w:val="yellow"/>
                    </w:rPr>
                    <w:t>相关检测情况</w:t>
                  </w:r>
                  <w:r>
                    <w:rPr>
                      <w:rFonts w:hint="eastAsia" w:ascii="宋体" w:hAnsi="宋体" w:eastAsia="宋体" w:cs="宋体"/>
                      <w:bCs/>
                      <w:color w:val="auto"/>
                      <w:sz w:val="24"/>
                      <w:szCs w:val="20"/>
                      <w:highlight w:val="yellow"/>
                      <w:lang w:val="en-US" w:eastAsia="zh-CN"/>
                    </w:rPr>
                    <w:t>1</w:t>
                  </w:r>
                </w:p>
              </w:tc>
              <w:tc>
                <w:tcPr>
                  <w:tcW w:w="6856" w:type="dxa"/>
                  <w:noWrap w:val="0"/>
                  <w:vAlign w:val="center"/>
                </w:tcPr>
                <w:p w14:paraId="58A29D7C">
                  <w:pPr>
                    <w:spacing w:line="360" w:lineRule="auto"/>
                    <w:rPr>
                      <w:rFonts w:hint="eastAsia" w:ascii="宋体" w:hAnsi="宋体" w:eastAsia="宋体" w:cs="宋体"/>
                      <w:bCs/>
                      <w:color w:val="auto"/>
                      <w:kern w:val="0"/>
                      <w:sz w:val="24"/>
                      <w:szCs w:val="24"/>
                      <w:highlight w:val="yellow"/>
                    </w:rPr>
                  </w:pPr>
                  <w:r>
                    <w:rPr>
                      <w:rFonts w:hint="eastAsia" w:ascii="宋体" w:hAnsi="宋体" w:eastAsia="宋体" w:cs="宋体"/>
                      <w:bCs/>
                      <w:color w:val="auto"/>
                      <w:sz w:val="24"/>
                      <w:szCs w:val="20"/>
                      <w:highlight w:val="yellow"/>
                    </w:rPr>
                    <w:t>在投标文件文件中须提供检测报告复印件，</w:t>
                  </w:r>
                  <w:r>
                    <w:rPr>
                      <w:rFonts w:hint="eastAsia" w:ascii="宋体" w:hAnsi="宋体" w:eastAsia="宋体" w:cs="宋体"/>
                      <w:color w:val="auto"/>
                      <w:sz w:val="24"/>
                      <w:szCs w:val="20"/>
                      <w:highlight w:val="yellow"/>
                    </w:rPr>
                    <w:t>并提供网络查询截图，提供不符或</w:t>
                  </w:r>
                  <w:r>
                    <w:rPr>
                      <w:rFonts w:hint="eastAsia" w:ascii="宋体" w:hAnsi="宋体" w:eastAsia="宋体" w:cs="宋体"/>
                      <w:bCs/>
                      <w:color w:val="auto"/>
                      <w:sz w:val="24"/>
                      <w:szCs w:val="20"/>
                      <w:highlight w:val="yellow"/>
                    </w:rPr>
                    <w:t>不提供不得分</w:t>
                  </w:r>
                  <w:r>
                    <w:rPr>
                      <w:rFonts w:hint="eastAsia" w:ascii="宋体" w:hAnsi="宋体" w:eastAsia="宋体" w:cs="宋体"/>
                      <w:color w:val="auto"/>
                      <w:kern w:val="0"/>
                      <w:sz w:val="24"/>
                      <w:szCs w:val="20"/>
                      <w:highlight w:val="yellow"/>
                    </w:rPr>
                    <w:t>。</w:t>
                  </w:r>
                  <w:r>
                    <w:rPr>
                      <w:rFonts w:hint="eastAsia" w:ascii="宋体" w:hAnsi="宋体" w:eastAsia="宋体" w:cs="宋体"/>
                      <w:bCs/>
                      <w:color w:val="auto"/>
                      <w:sz w:val="24"/>
                      <w:szCs w:val="20"/>
                      <w:highlight w:val="yellow"/>
                    </w:rPr>
                    <w:t>（满分</w:t>
                  </w:r>
                  <w:r>
                    <w:rPr>
                      <w:rFonts w:hint="eastAsia" w:ascii="宋体" w:hAnsi="宋体" w:eastAsia="宋体" w:cs="宋体"/>
                      <w:bCs/>
                      <w:color w:val="auto"/>
                      <w:sz w:val="24"/>
                      <w:szCs w:val="20"/>
                      <w:highlight w:val="yellow"/>
                      <w:lang w:val="en-US" w:eastAsia="zh-CN"/>
                    </w:rPr>
                    <w:t xml:space="preserve">    </w:t>
                  </w:r>
                  <w:r>
                    <w:rPr>
                      <w:rFonts w:hint="eastAsia" w:ascii="宋体" w:hAnsi="宋体" w:eastAsia="宋体" w:cs="宋体"/>
                      <w:bCs/>
                      <w:color w:val="auto"/>
                      <w:sz w:val="24"/>
                      <w:szCs w:val="20"/>
                      <w:highlight w:val="yellow"/>
                    </w:rPr>
                    <w:t xml:space="preserve">分）   </w:t>
                  </w:r>
                </w:p>
              </w:tc>
              <w:tc>
                <w:tcPr>
                  <w:tcW w:w="764" w:type="dxa"/>
                  <w:noWrap w:val="0"/>
                  <w:vAlign w:val="center"/>
                </w:tcPr>
                <w:p w14:paraId="30BE8FB8">
                  <w:pPr>
                    <w:snapToGrid w:val="0"/>
                    <w:spacing w:line="360" w:lineRule="auto"/>
                    <w:jc w:val="center"/>
                    <w:rPr>
                      <w:rFonts w:hint="eastAsia" w:ascii="宋体" w:hAnsi="宋体" w:eastAsia="宋体" w:cs="宋体"/>
                      <w:bCs/>
                      <w:sz w:val="24"/>
                      <w:szCs w:val="24"/>
                    </w:rPr>
                  </w:pPr>
                </w:p>
              </w:tc>
            </w:tr>
            <w:tr w14:paraId="1C87B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1350E2D2">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A3</w:t>
                  </w:r>
                </w:p>
              </w:tc>
              <w:tc>
                <w:tcPr>
                  <w:tcW w:w="1509" w:type="dxa"/>
                  <w:noWrap w:val="0"/>
                  <w:vAlign w:val="center"/>
                </w:tcPr>
                <w:p w14:paraId="0DC437B3">
                  <w:pPr>
                    <w:snapToGrid w:val="0"/>
                    <w:spacing w:line="360" w:lineRule="auto"/>
                    <w:jc w:val="both"/>
                    <w:rPr>
                      <w:rFonts w:hint="eastAsia" w:ascii="宋体" w:hAnsi="宋体" w:eastAsia="宋体" w:cs="宋体"/>
                      <w:bCs/>
                      <w:color w:val="auto"/>
                      <w:kern w:val="0"/>
                      <w:sz w:val="24"/>
                      <w:szCs w:val="24"/>
                      <w:highlight w:val="yellow"/>
                    </w:rPr>
                  </w:pPr>
                  <w:r>
                    <w:rPr>
                      <w:rFonts w:hint="eastAsia" w:ascii="宋体" w:hAnsi="宋体" w:eastAsia="宋体" w:cs="宋体"/>
                      <w:bCs/>
                      <w:color w:val="auto"/>
                      <w:kern w:val="0"/>
                      <w:sz w:val="24"/>
                      <w:szCs w:val="24"/>
                      <w:highlight w:val="yellow"/>
                    </w:rPr>
                    <w:t>设备责任险情况</w:t>
                  </w:r>
                </w:p>
              </w:tc>
              <w:tc>
                <w:tcPr>
                  <w:tcW w:w="6856" w:type="dxa"/>
                  <w:noWrap w:val="0"/>
                  <w:vAlign w:val="center"/>
                </w:tcPr>
                <w:p w14:paraId="286CD848">
                  <w:pPr>
                    <w:spacing w:line="360" w:lineRule="auto"/>
                    <w:rPr>
                      <w:rFonts w:hint="eastAsia" w:ascii="宋体" w:hAnsi="宋体" w:eastAsia="宋体" w:cs="宋体"/>
                      <w:bCs/>
                      <w:color w:val="auto"/>
                      <w:kern w:val="0"/>
                      <w:sz w:val="24"/>
                      <w:szCs w:val="24"/>
                      <w:highlight w:val="yellow"/>
                    </w:rPr>
                  </w:pPr>
                  <w:r>
                    <w:rPr>
                      <w:rFonts w:hint="eastAsia" w:ascii="宋体" w:hAnsi="宋体" w:eastAsia="宋体" w:cs="Times New Roman"/>
                      <w:color w:val="auto"/>
                      <w:sz w:val="24"/>
                      <w:szCs w:val="20"/>
                      <w:highlight w:val="yellow"/>
                    </w:rPr>
                    <w:t>所投</w:t>
                  </w:r>
                  <w:r>
                    <w:rPr>
                      <w:rFonts w:hint="eastAsia" w:ascii="宋体" w:hAnsi="宋体" w:eastAsia="宋体" w:cs="Times New Roman"/>
                      <w:color w:val="auto"/>
                      <w:sz w:val="24"/>
                      <w:szCs w:val="20"/>
                      <w:highlight w:val="yellow"/>
                      <w:lang w:val="en-US" w:eastAsia="zh-CN"/>
                    </w:rPr>
                    <w:t>XX产品</w:t>
                  </w:r>
                  <w:r>
                    <w:rPr>
                      <w:rFonts w:hint="eastAsia" w:ascii="宋体" w:hAnsi="宋体" w:eastAsia="宋体" w:cs="Times New Roman"/>
                      <w:color w:val="auto"/>
                      <w:sz w:val="24"/>
                      <w:szCs w:val="20"/>
                      <w:highlight w:val="yellow"/>
                    </w:rPr>
                    <w:t>具有保险公司提供的产品责任险保单</w:t>
                  </w:r>
                </w:p>
              </w:tc>
              <w:tc>
                <w:tcPr>
                  <w:tcW w:w="764" w:type="dxa"/>
                  <w:noWrap w:val="0"/>
                  <w:vAlign w:val="center"/>
                </w:tcPr>
                <w:p w14:paraId="6187AE02">
                  <w:pPr>
                    <w:snapToGrid w:val="0"/>
                    <w:spacing w:line="360" w:lineRule="auto"/>
                    <w:jc w:val="center"/>
                    <w:rPr>
                      <w:rFonts w:hint="eastAsia" w:ascii="宋体" w:hAnsi="宋体" w:eastAsia="宋体" w:cs="宋体"/>
                      <w:bCs/>
                      <w:sz w:val="24"/>
                      <w:szCs w:val="24"/>
                    </w:rPr>
                  </w:pPr>
                </w:p>
              </w:tc>
            </w:tr>
            <w:tr w14:paraId="12061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0656B0F4">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A4</w:t>
                  </w:r>
                </w:p>
              </w:tc>
              <w:tc>
                <w:tcPr>
                  <w:tcW w:w="1509" w:type="dxa"/>
                  <w:noWrap w:val="0"/>
                  <w:vAlign w:val="center"/>
                </w:tcPr>
                <w:p w14:paraId="07502CBA">
                  <w:pPr>
                    <w:spacing w:line="360" w:lineRule="auto"/>
                    <w:rPr>
                      <w:rFonts w:hint="eastAsia" w:ascii="宋体" w:hAnsi="宋体" w:eastAsia="宋体" w:cs="宋体"/>
                      <w:bCs/>
                      <w:kern w:val="0"/>
                      <w:sz w:val="24"/>
                      <w:szCs w:val="24"/>
                    </w:rPr>
                  </w:pPr>
                </w:p>
              </w:tc>
              <w:tc>
                <w:tcPr>
                  <w:tcW w:w="6856" w:type="dxa"/>
                  <w:noWrap w:val="0"/>
                  <w:vAlign w:val="center"/>
                </w:tcPr>
                <w:p w14:paraId="79CDB598">
                  <w:pPr>
                    <w:spacing w:line="360" w:lineRule="auto"/>
                    <w:rPr>
                      <w:rFonts w:hint="eastAsia" w:ascii="Times New Roman" w:hAnsi="宋体" w:eastAsia="宋体" w:cs="宋体"/>
                      <w:color w:val="000000"/>
                      <w:sz w:val="24"/>
                      <w:szCs w:val="20"/>
                    </w:rPr>
                  </w:pPr>
                </w:p>
              </w:tc>
              <w:tc>
                <w:tcPr>
                  <w:tcW w:w="764" w:type="dxa"/>
                  <w:noWrap w:val="0"/>
                  <w:vAlign w:val="center"/>
                </w:tcPr>
                <w:p w14:paraId="3A5E92BA">
                  <w:pPr>
                    <w:snapToGrid w:val="0"/>
                    <w:spacing w:line="360" w:lineRule="auto"/>
                    <w:jc w:val="center"/>
                    <w:rPr>
                      <w:rFonts w:hint="eastAsia" w:ascii="宋体" w:hAnsi="宋体" w:eastAsia="宋体" w:cs="宋体"/>
                      <w:bCs/>
                      <w:sz w:val="24"/>
                      <w:szCs w:val="24"/>
                    </w:rPr>
                  </w:pPr>
                </w:p>
              </w:tc>
            </w:tr>
            <w:tr w14:paraId="2F313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21" w:type="dxa"/>
                  <w:noWrap w:val="0"/>
                  <w:vAlign w:val="center"/>
                </w:tcPr>
                <w:p w14:paraId="1E6F28B9">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A5</w:t>
                  </w:r>
                </w:p>
              </w:tc>
              <w:tc>
                <w:tcPr>
                  <w:tcW w:w="1509" w:type="dxa"/>
                  <w:noWrap w:val="0"/>
                  <w:vAlign w:val="center"/>
                </w:tcPr>
                <w:p w14:paraId="47B3305F">
                  <w:pPr>
                    <w:snapToGrid w:val="0"/>
                    <w:spacing w:line="360" w:lineRule="auto"/>
                    <w:jc w:val="both"/>
                    <w:rPr>
                      <w:rFonts w:hint="eastAsia" w:ascii="宋体" w:hAnsi="宋体" w:eastAsia="宋体" w:cs="宋体"/>
                      <w:bCs/>
                      <w:kern w:val="0"/>
                      <w:sz w:val="24"/>
                      <w:szCs w:val="24"/>
                    </w:rPr>
                  </w:pPr>
                </w:p>
              </w:tc>
              <w:tc>
                <w:tcPr>
                  <w:tcW w:w="6856" w:type="dxa"/>
                  <w:noWrap w:val="0"/>
                  <w:vAlign w:val="center"/>
                </w:tcPr>
                <w:p w14:paraId="09167EC1">
                  <w:pPr>
                    <w:spacing w:line="360" w:lineRule="auto"/>
                    <w:rPr>
                      <w:rFonts w:hint="eastAsia" w:ascii="宋体" w:hAnsi="宋体" w:eastAsia="宋体" w:cs="Times New Roman"/>
                      <w:color w:val="000000"/>
                      <w:sz w:val="24"/>
                      <w:szCs w:val="20"/>
                    </w:rPr>
                  </w:pPr>
                </w:p>
              </w:tc>
              <w:tc>
                <w:tcPr>
                  <w:tcW w:w="764" w:type="dxa"/>
                  <w:noWrap w:val="0"/>
                  <w:vAlign w:val="center"/>
                </w:tcPr>
                <w:p w14:paraId="03834478">
                  <w:pPr>
                    <w:snapToGrid w:val="0"/>
                    <w:spacing w:line="360" w:lineRule="auto"/>
                    <w:jc w:val="center"/>
                    <w:rPr>
                      <w:rFonts w:hint="eastAsia" w:ascii="宋体" w:hAnsi="宋体" w:eastAsia="宋体" w:cs="宋体"/>
                      <w:bCs/>
                      <w:sz w:val="24"/>
                      <w:szCs w:val="24"/>
                    </w:rPr>
                  </w:pPr>
                </w:p>
              </w:tc>
            </w:tr>
            <w:tr w14:paraId="59BB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03C650B2">
                  <w:pPr>
                    <w:snapToGrid w:val="0"/>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A</w:t>
                  </w:r>
                  <w:r>
                    <w:rPr>
                      <w:rFonts w:hint="eastAsia" w:ascii="宋体" w:hAnsi="宋体" w:eastAsia="宋体" w:cs="宋体"/>
                      <w:bCs/>
                      <w:sz w:val="24"/>
                      <w:szCs w:val="24"/>
                      <w:lang w:val="en-US" w:eastAsia="zh-CN"/>
                    </w:rPr>
                    <w:t>6</w:t>
                  </w:r>
                </w:p>
              </w:tc>
              <w:tc>
                <w:tcPr>
                  <w:tcW w:w="1509" w:type="dxa"/>
                  <w:noWrap w:val="0"/>
                  <w:vAlign w:val="center"/>
                </w:tcPr>
                <w:p w14:paraId="40C0C607">
                  <w:pPr>
                    <w:spacing w:line="360" w:lineRule="auto"/>
                    <w:rPr>
                      <w:rFonts w:hint="eastAsia" w:ascii="宋体" w:hAnsi="宋体" w:eastAsia="宋体" w:cs="宋体"/>
                      <w:bCs/>
                      <w:sz w:val="24"/>
                      <w:szCs w:val="24"/>
                    </w:rPr>
                  </w:pPr>
                </w:p>
              </w:tc>
              <w:tc>
                <w:tcPr>
                  <w:tcW w:w="6856" w:type="dxa"/>
                  <w:noWrap w:val="0"/>
                  <w:vAlign w:val="center"/>
                </w:tcPr>
                <w:p w14:paraId="16A9044A">
                  <w:pPr>
                    <w:spacing w:line="360" w:lineRule="auto"/>
                    <w:rPr>
                      <w:rFonts w:hint="eastAsia" w:ascii="宋体" w:hAnsi="宋体" w:eastAsia="宋体" w:cs="宋体"/>
                      <w:bCs/>
                      <w:sz w:val="24"/>
                      <w:szCs w:val="24"/>
                    </w:rPr>
                  </w:pPr>
                </w:p>
              </w:tc>
              <w:tc>
                <w:tcPr>
                  <w:tcW w:w="764" w:type="dxa"/>
                  <w:noWrap w:val="0"/>
                  <w:vAlign w:val="center"/>
                </w:tcPr>
                <w:p w14:paraId="4F7FE14C">
                  <w:pPr>
                    <w:snapToGrid w:val="0"/>
                    <w:spacing w:line="360" w:lineRule="auto"/>
                    <w:jc w:val="center"/>
                    <w:rPr>
                      <w:rFonts w:hint="eastAsia" w:ascii="宋体" w:hAnsi="宋体" w:eastAsia="宋体" w:cs="宋体"/>
                      <w:bCs/>
                      <w:sz w:val="24"/>
                      <w:szCs w:val="24"/>
                    </w:rPr>
                  </w:pPr>
                </w:p>
              </w:tc>
            </w:tr>
            <w:tr w14:paraId="522BA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645B67E3">
                  <w:pPr>
                    <w:widowControl/>
                    <w:spacing w:line="360" w:lineRule="auto"/>
                    <w:rPr>
                      <w:rFonts w:hint="eastAsia" w:ascii="宋体" w:hAnsi="宋体" w:eastAsia="宋体" w:cs="宋体"/>
                      <w:bCs/>
                      <w:kern w:val="0"/>
                      <w:sz w:val="24"/>
                      <w:szCs w:val="24"/>
                    </w:rPr>
                  </w:pPr>
                  <w:r>
                    <w:rPr>
                      <w:rFonts w:hint="eastAsia" w:ascii="宋体" w:hAnsi="宋体" w:eastAsia="宋体" w:cs="宋体"/>
                      <w:bCs/>
                      <w:kern w:val="0"/>
                      <w:sz w:val="24"/>
                      <w:szCs w:val="24"/>
                    </w:rPr>
                    <w:t>B：商务部分评分</w:t>
                  </w:r>
                  <w:r>
                    <w:rPr>
                      <w:rFonts w:hint="eastAsia" w:ascii="宋体" w:hAnsi="宋体" w:eastAsia="宋体" w:cs="宋体"/>
                      <w:bCs/>
                      <w:sz w:val="24"/>
                      <w:szCs w:val="24"/>
                    </w:rPr>
                    <w:t>（总分</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分）</w:t>
                  </w:r>
                </w:p>
              </w:tc>
            </w:tr>
            <w:tr w14:paraId="4FD9E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34370EF4">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序号</w:t>
                  </w:r>
                </w:p>
              </w:tc>
              <w:tc>
                <w:tcPr>
                  <w:tcW w:w="1509" w:type="dxa"/>
                  <w:noWrap w:val="0"/>
                  <w:vAlign w:val="center"/>
                </w:tcPr>
                <w:p w14:paraId="2D8B67FA">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评分项目</w:t>
                  </w:r>
                </w:p>
              </w:tc>
              <w:tc>
                <w:tcPr>
                  <w:tcW w:w="6856" w:type="dxa"/>
                  <w:noWrap w:val="0"/>
                  <w:vAlign w:val="center"/>
                </w:tcPr>
                <w:p w14:paraId="4CB51FBB">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评分标准</w:t>
                  </w:r>
                </w:p>
              </w:tc>
              <w:tc>
                <w:tcPr>
                  <w:tcW w:w="764" w:type="dxa"/>
                  <w:noWrap w:val="0"/>
                  <w:vAlign w:val="center"/>
                </w:tcPr>
                <w:p w14:paraId="60F56728">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分数</w:t>
                  </w:r>
                </w:p>
              </w:tc>
            </w:tr>
            <w:tr w14:paraId="0F5E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58F7AF6E">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B1</w:t>
                  </w:r>
                </w:p>
              </w:tc>
              <w:tc>
                <w:tcPr>
                  <w:tcW w:w="1509" w:type="dxa"/>
                  <w:noWrap w:val="0"/>
                  <w:vAlign w:val="center"/>
                </w:tcPr>
                <w:p w14:paraId="1BB00576">
                  <w:pPr>
                    <w:adjustRightInd w:val="0"/>
                    <w:snapToGrid w:val="0"/>
                    <w:spacing w:line="360" w:lineRule="auto"/>
                    <w:rPr>
                      <w:rFonts w:hint="eastAsia" w:ascii="宋体" w:hAnsi="宋体" w:eastAsia="宋体" w:cs="宋体"/>
                      <w:kern w:val="0"/>
                      <w:sz w:val="24"/>
                      <w:szCs w:val="20"/>
                    </w:rPr>
                  </w:pPr>
                </w:p>
              </w:tc>
              <w:tc>
                <w:tcPr>
                  <w:tcW w:w="6856" w:type="dxa"/>
                  <w:noWrap w:val="0"/>
                  <w:vAlign w:val="center"/>
                </w:tcPr>
                <w:p w14:paraId="16293B92">
                  <w:pPr>
                    <w:adjustRightInd w:val="0"/>
                    <w:snapToGrid w:val="0"/>
                    <w:spacing w:line="360" w:lineRule="auto"/>
                    <w:rPr>
                      <w:rFonts w:hint="eastAsia" w:ascii="宋体" w:hAnsi="宋体" w:eastAsia="宋体" w:cs="宋体"/>
                      <w:kern w:val="0"/>
                      <w:sz w:val="24"/>
                      <w:szCs w:val="20"/>
                    </w:rPr>
                  </w:pPr>
                </w:p>
              </w:tc>
              <w:tc>
                <w:tcPr>
                  <w:tcW w:w="764" w:type="dxa"/>
                  <w:noWrap w:val="0"/>
                  <w:vAlign w:val="center"/>
                </w:tcPr>
                <w:p w14:paraId="2BD61573">
                  <w:pPr>
                    <w:widowControl/>
                    <w:spacing w:line="360" w:lineRule="auto"/>
                    <w:jc w:val="center"/>
                    <w:rPr>
                      <w:rFonts w:hint="eastAsia" w:ascii="宋体" w:hAnsi="宋体" w:eastAsia="宋体" w:cs="宋体"/>
                      <w:bCs/>
                      <w:kern w:val="0"/>
                      <w:sz w:val="24"/>
                      <w:szCs w:val="24"/>
                    </w:rPr>
                  </w:pPr>
                </w:p>
              </w:tc>
            </w:tr>
            <w:tr w14:paraId="0D247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59EB27BC">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B2</w:t>
                  </w:r>
                </w:p>
              </w:tc>
              <w:tc>
                <w:tcPr>
                  <w:tcW w:w="1509" w:type="dxa"/>
                  <w:noWrap w:val="0"/>
                  <w:vAlign w:val="center"/>
                </w:tcPr>
                <w:p w14:paraId="7F3327C8">
                  <w:pPr>
                    <w:adjustRightInd w:val="0"/>
                    <w:snapToGrid w:val="0"/>
                    <w:spacing w:line="360" w:lineRule="auto"/>
                    <w:rPr>
                      <w:rFonts w:hint="eastAsia" w:ascii="宋体" w:hAnsi="宋体" w:eastAsia="宋体" w:cs="宋体"/>
                      <w:kern w:val="0"/>
                      <w:sz w:val="24"/>
                      <w:szCs w:val="20"/>
                    </w:rPr>
                  </w:pPr>
                </w:p>
              </w:tc>
              <w:tc>
                <w:tcPr>
                  <w:tcW w:w="6856" w:type="dxa"/>
                  <w:noWrap w:val="0"/>
                  <w:vAlign w:val="center"/>
                </w:tcPr>
                <w:p w14:paraId="4A83C50F">
                  <w:pPr>
                    <w:adjustRightInd w:val="0"/>
                    <w:snapToGrid w:val="0"/>
                    <w:rPr>
                      <w:rFonts w:hint="eastAsia" w:ascii="宋体" w:hAnsi="宋体" w:eastAsia="宋体" w:cs="宋体"/>
                      <w:kern w:val="0"/>
                      <w:sz w:val="24"/>
                      <w:szCs w:val="20"/>
                    </w:rPr>
                  </w:pPr>
                </w:p>
              </w:tc>
              <w:tc>
                <w:tcPr>
                  <w:tcW w:w="764" w:type="dxa"/>
                  <w:noWrap w:val="0"/>
                  <w:vAlign w:val="center"/>
                </w:tcPr>
                <w:p w14:paraId="128B8EAE">
                  <w:pPr>
                    <w:widowControl/>
                    <w:spacing w:line="360" w:lineRule="auto"/>
                    <w:jc w:val="center"/>
                    <w:rPr>
                      <w:rFonts w:hint="eastAsia" w:ascii="宋体" w:hAnsi="宋体" w:eastAsia="宋体" w:cs="宋体"/>
                      <w:bCs/>
                      <w:kern w:val="0"/>
                      <w:sz w:val="24"/>
                      <w:szCs w:val="24"/>
                    </w:rPr>
                  </w:pPr>
                </w:p>
              </w:tc>
            </w:tr>
            <w:tr w14:paraId="4A9B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5CA757BD">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B3</w:t>
                  </w:r>
                </w:p>
              </w:tc>
              <w:tc>
                <w:tcPr>
                  <w:tcW w:w="1509" w:type="dxa"/>
                  <w:noWrap w:val="0"/>
                  <w:vAlign w:val="center"/>
                </w:tcPr>
                <w:p w14:paraId="26E0EC59">
                  <w:pPr>
                    <w:widowControl/>
                    <w:spacing w:line="360" w:lineRule="auto"/>
                    <w:jc w:val="both"/>
                    <w:rPr>
                      <w:rFonts w:hint="eastAsia" w:ascii="宋体" w:hAnsi="宋体" w:eastAsia="宋体" w:cs="宋体"/>
                      <w:bCs/>
                      <w:sz w:val="24"/>
                      <w:szCs w:val="24"/>
                    </w:rPr>
                  </w:pPr>
                </w:p>
              </w:tc>
              <w:tc>
                <w:tcPr>
                  <w:tcW w:w="6856" w:type="dxa"/>
                  <w:noWrap w:val="0"/>
                  <w:vAlign w:val="center"/>
                </w:tcPr>
                <w:p w14:paraId="06CAA73F">
                  <w:pPr>
                    <w:adjustRightInd w:val="0"/>
                    <w:snapToGrid w:val="0"/>
                    <w:spacing w:line="360" w:lineRule="auto"/>
                    <w:rPr>
                      <w:rFonts w:hint="eastAsia" w:ascii="宋体" w:hAnsi="宋体" w:eastAsia="宋体" w:cs="宋体"/>
                      <w:bCs/>
                      <w:kern w:val="0"/>
                      <w:sz w:val="24"/>
                      <w:szCs w:val="24"/>
                    </w:rPr>
                  </w:pPr>
                </w:p>
              </w:tc>
              <w:tc>
                <w:tcPr>
                  <w:tcW w:w="764" w:type="dxa"/>
                  <w:noWrap w:val="0"/>
                  <w:vAlign w:val="center"/>
                </w:tcPr>
                <w:p w14:paraId="1C42348B">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3</w:t>
                  </w:r>
                </w:p>
              </w:tc>
            </w:tr>
            <w:tr w14:paraId="2D7B2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0110370A">
                  <w:pPr>
                    <w:widowControl/>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B</w:t>
                  </w:r>
                  <w:r>
                    <w:rPr>
                      <w:rFonts w:hint="eastAsia" w:ascii="宋体" w:hAnsi="宋体" w:eastAsia="宋体" w:cs="宋体"/>
                      <w:bCs/>
                      <w:sz w:val="24"/>
                      <w:szCs w:val="24"/>
                      <w:lang w:val="en-US" w:eastAsia="zh-CN"/>
                    </w:rPr>
                    <w:t>4</w:t>
                  </w:r>
                </w:p>
              </w:tc>
              <w:tc>
                <w:tcPr>
                  <w:tcW w:w="1509" w:type="dxa"/>
                  <w:noWrap w:val="0"/>
                  <w:vAlign w:val="center"/>
                </w:tcPr>
                <w:p w14:paraId="58F9F741">
                  <w:pPr>
                    <w:adjustRightInd w:val="0"/>
                    <w:snapToGrid w:val="0"/>
                    <w:spacing w:line="360" w:lineRule="auto"/>
                    <w:rPr>
                      <w:rFonts w:hint="eastAsia" w:ascii="宋体" w:hAnsi="宋体" w:eastAsia="宋体" w:cs="宋体"/>
                      <w:kern w:val="0"/>
                      <w:sz w:val="24"/>
                      <w:szCs w:val="20"/>
                      <w:highlight w:val="yellow"/>
                    </w:rPr>
                  </w:pPr>
                  <w:r>
                    <w:rPr>
                      <w:rFonts w:hint="eastAsia" w:ascii="宋体" w:hAnsi="宋体" w:eastAsia="宋体" w:cs="宋体"/>
                      <w:kern w:val="0"/>
                      <w:sz w:val="24"/>
                      <w:szCs w:val="20"/>
                      <w:highlight w:val="yellow"/>
                    </w:rPr>
                    <w:t>经营业绩</w:t>
                  </w:r>
                </w:p>
              </w:tc>
              <w:tc>
                <w:tcPr>
                  <w:tcW w:w="6856" w:type="dxa"/>
                  <w:noWrap w:val="0"/>
                  <w:vAlign w:val="center"/>
                </w:tcPr>
                <w:p w14:paraId="288A5917">
                  <w:pPr>
                    <w:spacing w:line="360" w:lineRule="auto"/>
                    <w:rPr>
                      <w:rFonts w:hint="eastAsia" w:ascii="宋体" w:hAnsi="宋体" w:eastAsia="宋体" w:cs="宋体"/>
                      <w:bCs/>
                      <w:kern w:val="0"/>
                      <w:sz w:val="24"/>
                      <w:szCs w:val="24"/>
                      <w:highlight w:val="yellow"/>
                    </w:rPr>
                  </w:pPr>
                </w:p>
              </w:tc>
              <w:tc>
                <w:tcPr>
                  <w:tcW w:w="764" w:type="dxa"/>
                  <w:noWrap w:val="0"/>
                  <w:vAlign w:val="center"/>
                </w:tcPr>
                <w:p w14:paraId="1A76F5AE">
                  <w:pPr>
                    <w:widowControl/>
                    <w:spacing w:line="360" w:lineRule="auto"/>
                    <w:jc w:val="center"/>
                    <w:rPr>
                      <w:rFonts w:hint="eastAsia" w:ascii="宋体" w:hAnsi="宋体" w:eastAsia="宋体" w:cs="宋体"/>
                      <w:bCs/>
                      <w:sz w:val="24"/>
                      <w:szCs w:val="24"/>
                    </w:rPr>
                  </w:pPr>
                </w:p>
              </w:tc>
            </w:tr>
            <w:tr w14:paraId="49F6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225B76C6">
                  <w:pPr>
                    <w:widowControl/>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B</w:t>
                  </w:r>
                  <w:r>
                    <w:rPr>
                      <w:rFonts w:hint="eastAsia" w:ascii="宋体" w:hAnsi="宋体" w:eastAsia="宋体" w:cs="宋体"/>
                      <w:bCs/>
                      <w:sz w:val="24"/>
                      <w:szCs w:val="24"/>
                      <w:lang w:val="en-US" w:eastAsia="zh-CN"/>
                    </w:rPr>
                    <w:t>5</w:t>
                  </w:r>
                </w:p>
              </w:tc>
              <w:tc>
                <w:tcPr>
                  <w:tcW w:w="1509" w:type="dxa"/>
                  <w:noWrap w:val="0"/>
                  <w:vAlign w:val="center"/>
                </w:tcPr>
                <w:p w14:paraId="011461C7">
                  <w:pPr>
                    <w:adjustRightInd w:val="0"/>
                    <w:snapToGrid w:val="0"/>
                    <w:spacing w:line="360" w:lineRule="auto"/>
                    <w:rPr>
                      <w:rFonts w:hint="eastAsia" w:ascii="宋体" w:hAnsi="宋体" w:eastAsia="宋体" w:cs="宋体"/>
                      <w:kern w:val="0"/>
                      <w:sz w:val="24"/>
                      <w:szCs w:val="20"/>
                      <w:highlight w:val="yellow"/>
                    </w:rPr>
                  </w:pPr>
                  <w:r>
                    <w:rPr>
                      <w:rFonts w:hint="eastAsia" w:ascii="宋体" w:hAnsi="宋体" w:eastAsia="宋体" w:cs="宋体"/>
                      <w:kern w:val="0"/>
                      <w:sz w:val="24"/>
                      <w:szCs w:val="20"/>
                      <w:highlight w:val="yellow"/>
                    </w:rPr>
                    <w:t>售后保障</w:t>
                  </w:r>
                </w:p>
              </w:tc>
              <w:tc>
                <w:tcPr>
                  <w:tcW w:w="6856" w:type="dxa"/>
                  <w:noWrap w:val="0"/>
                  <w:vAlign w:val="center"/>
                </w:tcPr>
                <w:p w14:paraId="73939E6E">
                  <w:pPr>
                    <w:tabs>
                      <w:tab w:val="left" w:pos="432"/>
                    </w:tabs>
                    <w:spacing w:line="360" w:lineRule="auto"/>
                    <w:rPr>
                      <w:rFonts w:hint="eastAsia" w:ascii="宋体" w:hAnsi="宋体" w:eastAsia="宋体" w:cs="宋体"/>
                      <w:bCs/>
                      <w:kern w:val="0"/>
                      <w:sz w:val="24"/>
                      <w:szCs w:val="24"/>
                      <w:highlight w:val="yellow"/>
                    </w:rPr>
                  </w:pPr>
                </w:p>
              </w:tc>
              <w:tc>
                <w:tcPr>
                  <w:tcW w:w="764" w:type="dxa"/>
                  <w:noWrap w:val="0"/>
                  <w:vAlign w:val="center"/>
                </w:tcPr>
                <w:p w14:paraId="47E8ADDE">
                  <w:pPr>
                    <w:widowControl/>
                    <w:spacing w:line="360" w:lineRule="auto"/>
                    <w:jc w:val="center"/>
                    <w:rPr>
                      <w:rFonts w:hint="eastAsia" w:ascii="宋体" w:hAnsi="宋体" w:eastAsia="宋体" w:cs="宋体"/>
                      <w:bCs/>
                      <w:sz w:val="24"/>
                      <w:szCs w:val="24"/>
                    </w:rPr>
                  </w:pPr>
                </w:p>
              </w:tc>
            </w:tr>
            <w:tr w14:paraId="0A2F6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6FEC5587">
                  <w:pPr>
                    <w:widowControl/>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B</w:t>
                  </w:r>
                  <w:r>
                    <w:rPr>
                      <w:rFonts w:hint="eastAsia" w:ascii="宋体" w:hAnsi="宋体" w:eastAsia="宋体" w:cs="宋体"/>
                      <w:bCs/>
                      <w:sz w:val="24"/>
                      <w:szCs w:val="24"/>
                      <w:lang w:val="en-US" w:eastAsia="zh-CN"/>
                    </w:rPr>
                    <w:t>6</w:t>
                  </w:r>
                </w:p>
              </w:tc>
              <w:tc>
                <w:tcPr>
                  <w:tcW w:w="1509" w:type="dxa"/>
                  <w:noWrap w:val="0"/>
                  <w:vAlign w:val="center"/>
                </w:tcPr>
                <w:p w14:paraId="6B1450A2">
                  <w:pPr>
                    <w:tabs>
                      <w:tab w:val="left" w:pos="432"/>
                    </w:tabs>
                    <w:spacing w:line="360" w:lineRule="auto"/>
                    <w:rPr>
                      <w:rFonts w:hint="eastAsia" w:ascii="宋体" w:hAnsi="宋体" w:eastAsia="宋体" w:cs="宋体"/>
                      <w:bCs/>
                      <w:sz w:val="24"/>
                      <w:szCs w:val="24"/>
                      <w:highlight w:val="yellow"/>
                    </w:rPr>
                  </w:pPr>
                  <w:r>
                    <w:rPr>
                      <w:rFonts w:hint="eastAsia" w:ascii="宋体" w:hAnsi="宋体" w:eastAsia="宋体" w:cs="Times New Roman"/>
                      <w:sz w:val="24"/>
                      <w:szCs w:val="20"/>
                      <w:highlight w:val="yellow"/>
                    </w:rPr>
                    <w:t>质保承诺</w:t>
                  </w:r>
                </w:p>
              </w:tc>
              <w:tc>
                <w:tcPr>
                  <w:tcW w:w="6856" w:type="dxa"/>
                  <w:noWrap w:val="0"/>
                  <w:vAlign w:val="center"/>
                </w:tcPr>
                <w:p w14:paraId="6AA1B458">
                  <w:pPr>
                    <w:tabs>
                      <w:tab w:val="left" w:pos="432"/>
                    </w:tabs>
                    <w:spacing w:line="360" w:lineRule="auto"/>
                    <w:rPr>
                      <w:rFonts w:hint="eastAsia" w:ascii="宋体" w:hAnsi="宋体" w:eastAsia="宋体" w:cs="宋体"/>
                      <w:bCs/>
                      <w:kern w:val="0"/>
                      <w:sz w:val="24"/>
                      <w:szCs w:val="24"/>
                      <w:highlight w:val="yellow"/>
                    </w:rPr>
                  </w:pPr>
                  <w:r>
                    <w:rPr>
                      <w:rFonts w:hint="eastAsia" w:ascii="宋体" w:hAnsi="宋体" w:eastAsia="宋体" w:cs="Times New Roman"/>
                      <w:sz w:val="24"/>
                      <w:szCs w:val="20"/>
                      <w:highlight w:val="yellow"/>
                    </w:rPr>
                    <w:t>售后质保期承诺为4年的，得1.5分，5年的得3分</w:t>
                  </w:r>
                </w:p>
              </w:tc>
              <w:tc>
                <w:tcPr>
                  <w:tcW w:w="764" w:type="dxa"/>
                  <w:noWrap w:val="0"/>
                  <w:vAlign w:val="center"/>
                </w:tcPr>
                <w:p w14:paraId="11060969">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3</w:t>
                  </w:r>
                </w:p>
              </w:tc>
            </w:tr>
            <w:tr w14:paraId="2626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7260FEE5">
                  <w:pPr>
                    <w:widowControl/>
                    <w:spacing w:line="360" w:lineRule="auto"/>
                    <w:rPr>
                      <w:rFonts w:hint="eastAsia" w:ascii="宋体" w:hAnsi="宋体" w:eastAsia="宋体" w:cs="宋体"/>
                      <w:bCs/>
                      <w:kern w:val="0"/>
                      <w:sz w:val="24"/>
                      <w:szCs w:val="24"/>
                    </w:rPr>
                  </w:pPr>
                  <w:r>
                    <w:rPr>
                      <w:rFonts w:hint="eastAsia" w:ascii="宋体" w:hAnsi="宋体" w:eastAsia="宋体" w:cs="宋体"/>
                      <w:bCs/>
                      <w:kern w:val="0"/>
                      <w:sz w:val="24"/>
                      <w:szCs w:val="24"/>
                    </w:rPr>
                    <w:t>C：报价部分得分（总分</w:t>
                  </w:r>
                  <w:r>
                    <w:rPr>
                      <w:rFonts w:hint="eastAsia" w:ascii="宋体" w:hAnsi="宋体" w:eastAsia="宋体" w:cs="宋体"/>
                      <w:bCs/>
                      <w:kern w:val="0"/>
                      <w:sz w:val="24"/>
                      <w:szCs w:val="24"/>
                      <w:lang w:val="en-US" w:eastAsia="zh-CN"/>
                    </w:rPr>
                    <w:t xml:space="preserve">   </w:t>
                  </w:r>
                  <w:r>
                    <w:rPr>
                      <w:rFonts w:hint="eastAsia" w:ascii="宋体" w:hAnsi="宋体" w:eastAsia="宋体" w:cs="宋体"/>
                      <w:bCs/>
                      <w:kern w:val="0"/>
                      <w:sz w:val="24"/>
                      <w:szCs w:val="24"/>
                      <w:shd w:val="clear" w:color="FFFFFF" w:fill="D9D9D9"/>
                    </w:rPr>
                    <w:t>分</w:t>
                  </w:r>
                  <w:r>
                    <w:rPr>
                      <w:rFonts w:hint="eastAsia" w:ascii="宋体" w:hAnsi="宋体" w:eastAsia="宋体" w:cs="宋体"/>
                      <w:bCs/>
                      <w:kern w:val="0"/>
                      <w:sz w:val="24"/>
                      <w:szCs w:val="24"/>
                    </w:rPr>
                    <w:t>）</w:t>
                  </w:r>
                </w:p>
              </w:tc>
            </w:tr>
            <w:tr w14:paraId="3790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23B9C4FE">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评委将按下列方法计算各合格投标人的报价部分得分。</w:t>
                  </w:r>
                </w:p>
                <w:p w14:paraId="151FB827">
                  <w:pPr>
                    <w:spacing w:line="360" w:lineRule="auto"/>
                    <w:ind w:firstLine="1680" w:firstLineChars="700"/>
                    <w:rPr>
                      <w:rFonts w:hint="eastAsia" w:ascii="宋体" w:hAnsi="宋体" w:eastAsia="宋体" w:cs="宋体"/>
                      <w:bCs/>
                      <w:sz w:val="24"/>
                      <w:szCs w:val="24"/>
                    </w:rPr>
                  </w:pPr>
                  <w:r>
                    <w:rPr>
                      <w:rFonts w:hint="eastAsia" w:ascii="宋体" w:hAnsi="宋体" w:eastAsia="宋体" w:cs="宋体"/>
                      <w:bCs/>
                      <w:sz w:val="24"/>
                      <w:szCs w:val="24"/>
                    </w:rPr>
                    <w:t>F</w:t>
                  </w:r>
                  <w:r>
                    <w:rPr>
                      <w:rFonts w:hint="eastAsia" w:ascii="宋体" w:hAnsi="宋体" w:eastAsia="宋体" w:cs="宋体"/>
                      <w:bCs/>
                      <w:sz w:val="24"/>
                      <w:szCs w:val="24"/>
                      <w:vertAlign w:val="subscript"/>
                    </w:rPr>
                    <w:t>低</w:t>
                  </w:r>
                </w:p>
                <w:p w14:paraId="3E71B846">
                  <w:pPr>
                    <w:spacing w:line="360" w:lineRule="auto"/>
                    <w:rPr>
                      <w:rFonts w:hint="default" w:ascii="宋体" w:hAnsi="宋体" w:eastAsia="宋体" w:cs="宋体"/>
                      <w:bCs/>
                      <w:sz w:val="24"/>
                      <w:szCs w:val="24"/>
                      <w:highlight w:val="yellow"/>
                      <w:lang w:val="en-US" w:eastAsia="zh-CN"/>
                    </w:rPr>
                  </w:pPr>
                  <w:r>
                    <w:rPr>
                      <w:rFonts w:hint="eastAsia" w:ascii="宋体" w:hAnsi="宋体" w:eastAsia="宋体" w:cs="宋体"/>
                      <w:bCs/>
                      <w:sz w:val="24"/>
                      <w:szCs w:val="24"/>
                    </w:rPr>
                    <mc:AlternateContent>
                      <mc:Choice Requires="wps">
                        <w:drawing>
                          <wp:anchor distT="0" distB="0" distL="114300" distR="114300" simplePos="0" relativeHeight="251660288" behindDoc="0" locked="0" layoutInCell="1" allowOverlap="1">
                            <wp:simplePos x="0" y="0"/>
                            <wp:positionH relativeFrom="column">
                              <wp:posOffset>617220</wp:posOffset>
                            </wp:positionH>
                            <wp:positionV relativeFrom="paragraph">
                              <wp:posOffset>153670</wp:posOffset>
                            </wp:positionV>
                            <wp:extent cx="8890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8890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8.6pt;margin-top:12.1pt;height:0.05pt;width:70pt;z-index:251660288;mso-width-relative:page;mso-height-relative:page;" filled="f" stroked="t" coordsize="21600,21600" o:gfxdata="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YvSaHVAAAACAEAAA8AAAAAAAAAAQAgAAAAIgAAAGRycy9kb3ducmV2LnhtbFBLAQIUABQA&#10;AAAIAIdO4kBYRx6Y8wEAAOUDAAAOAAAAAAAAAAEAIAAAACQBAABkcnMvZTJvRG9jLnhtbFBLBQYA&#10;AAAABgAGAFkBAACJBQAAAAA=&#10;">
                            <v:fill on="f" focussize="0,0"/>
                            <v:stroke color="#000000" joinstyle="round"/>
                            <v:imagedata o:title=""/>
                            <o:lock v:ext="edit" aspectratio="f"/>
                          </v:line>
                        </w:pict>
                      </mc:Fallback>
                    </mc:AlternateContent>
                  </w:r>
                  <w:r>
                    <w:rPr>
                      <w:rFonts w:hint="eastAsia" w:ascii="宋体" w:hAnsi="宋体" w:eastAsia="宋体" w:cs="宋体"/>
                      <w:bCs/>
                      <w:sz w:val="24"/>
                      <w:szCs w:val="24"/>
                    </w:rPr>
                    <w:t xml:space="preserve">    C=                ×</w:t>
                  </w:r>
                  <w:r>
                    <w:rPr>
                      <w:rFonts w:hint="eastAsia" w:ascii="宋体" w:hAnsi="宋体" w:eastAsia="宋体" w:cs="宋体"/>
                      <w:bCs/>
                      <w:sz w:val="24"/>
                      <w:szCs w:val="24"/>
                      <w:shd w:val="clear" w:color="FFFFFF" w:fill="D9D9D9"/>
                      <w:lang w:val="en-US" w:eastAsia="zh-CN"/>
                    </w:rPr>
                    <w:t>XXX</w:t>
                  </w:r>
                </w:p>
                <w:p w14:paraId="11C6A319">
                  <w:pPr>
                    <w:spacing w:line="360" w:lineRule="auto"/>
                    <w:ind w:firstLine="1764" w:firstLineChars="735"/>
                    <w:rPr>
                      <w:rFonts w:hint="eastAsia" w:ascii="宋体" w:hAnsi="宋体" w:eastAsia="宋体" w:cs="宋体"/>
                      <w:bCs/>
                      <w:sz w:val="24"/>
                      <w:szCs w:val="24"/>
                    </w:rPr>
                  </w:pPr>
                  <w:r>
                    <w:rPr>
                      <w:rFonts w:hint="eastAsia" w:ascii="宋体" w:hAnsi="宋体" w:eastAsia="宋体" w:cs="宋体"/>
                      <w:bCs/>
                      <w:sz w:val="24"/>
                      <w:szCs w:val="24"/>
                    </w:rPr>
                    <w:t>F</w:t>
                  </w:r>
                </w:p>
                <w:p w14:paraId="23919335">
                  <w:pPr>
                    <w:spacing w:line="360" w:lineRule="auto"/>
                    <w:rPr>
                      <w:rFonts w:hint="eastAsia" w:ascii="宋体" w:hAnsi="宋体" w:eastAsia="宋体" w:cs="宋体"/>
                      <w:bCs/>
                      <w:sz w:val="24"/>
                      <w:szCs w:val="24"/>
                    </w:rPr>
                  </w:pPr>
                  <w:r>
                    <w:rPr>
                      <w:rFonts w:hint="eastAsia" w:ascii="宋体" w:hAnsi="宋体" w:eastAsia="宋体" w:cs="宋体"/>
                      <w:bCs/>
                      <w:sz w:val="24"/>
                      <w:szCs w:val="24"/>
                    </w:rPr>
                    <w:t>注：  1、C为投标价格得分。</w:t>
                  </w:r>
                </w:p>
                <w:p w14:paraId="404B5DA9">
                  <w:pPr>
                    <w:widowControl w:val="0"/>
                    <w:spacing w:line="360" w:lineRule="auto"/>
                    <w:ind w:firstLine="720" w:firstLineChars="300"/>
                    <w:jc w:val="both"/>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2、F</w:t>
                  </w:r>
                  <w:r>
                    <w:rPr>
                      <w:rFonts w:hint="eastAsia" w:ascii="宋体" w:hAnsi="宋体" w:eastAsia="宋体" w:cs="宋体"/>
                      <w:bCs/>
                      <w:kern w:val="2"/>
                      <w:sz w:val="24"/>
                      <w:szCs w:val="24"/>
                      <w:vertAlign w:val="subscript"/>
                      <w:lang w:val="en-US" w:eastAsia="zh-CN" w:bidi="ar-SA"/>
                    </w:rPr>
                    <w:t>低</w:t>
                  </w:r>
                  <w:r>
                    <w:rPr>
                      <w:rFonts w:hint="eastAsia" w:ascii="宋体" w:hAnsi="宋体" w:eastAsia="宋体" w:cs="宋体"/>
                      <w:bCs/>
                      <w:kern w:val="2"/>
                      <w:sz w:val="24"/>
                      <w:szCs w:val="24"/>
                      <w:lang w:val="en-US" w:eastAsia="zh-CN" w:bidi="ar-SA"/>
                    </w:rPr>
                    <w:t>为评标基准价，即各合格投标人中最低的报价评标价。</w:t>
                  </w:r>
                </w:p>
                <w:p w14:paraId="4AF35027">
                  <w:pPr>
                    <w:spacing w:line="360" w:lineRule="auto"/>
                    <w:ind w:firstLine="720" w:firstLineChars="300"/>
                    <w:rPr>
                      <w:rFonts w:hint="eastAsia" w:ascii="宋体" w:hAnsi="宋体" w:eastAsia="宋体" w:cs="宋体"/>
                      <w:bCs/>
                      <w:sz w:val="24"/>
                      <w:szCs w:val="24"/>
                    </w:rPr>
                  </w:pPr>
                  <w:r>
                    <w:rPr>
                      <w:rFonts w:hint="eastAsia" w:ascii="宋体" w:hAnsi="宋体" w:eastAsia="宋体" w:cs="宋体"/>
                      <w:bCs/>
                      <w:sz w:val="24"/>
                      <w:szCs w:val="24"/>
                    </w:rPr>
                    <w:t>3、F为各合格投标人的报价评标价。</w:t>
                  </w:r>
                </w:p>
                <w:p w14:paraId="259635B0">
                  <w:pPr>
                    <w:spacing w:line="360" w:lineRule="auto"/>
                    <w:ind w:firstLine="720" w:firstLineChars="300"/>
                    <w:rPr>
                      <w:rFonts w:hint="eastAsia" w:ascii="宋体" w:hAnsi="宋体" w:eastAsia="宋体" w:cs="宋体"/>
                      <w:bCs/>
                      <w:sz w:val="24"/>
                      <w:szCs w:val="24"/>
                    </w:rPr>
                  </w:pPr>
                  <w:r>
                    <w:rPr>
                      <w:rFonts w:hint="eastAsia" w:ascii="宋体" w:hAnsi="宋体" w:eastAsia="宋体" w:cs="宋体"/>
                      <w:bCs/>
                      <w:sz w:val="24"/>
                      <w:szCs w:val="24"/>
                    </w:rPr>
                    <w:t>4、计算分数时四舍五入取小数点后两位。</w:t>
                  </w:r>
                </w:p>
                <w:p w14:paraId="34AC8207">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评标委员会将按比较与评价最优在先原则, 排列评价顺序, 根据在投标人须知前附表中确定的中标候选人数量推荐出中标候选人。</w:t>
                  </w:r>
                </w:p>
                <w:p w14:paraId="18B69FAB">
                  <w:pPr>
                    <w:spacing w:line="360" w:lineRule="auto"/>
                    <w:rPr>
                      <w:rFonts w:hint="eastAsia" w:ascii="宋体" w:hAnsi="宋体" w:eastAsia="宋体" w:cs="宋体"/>
                      <w:bCs/>
                      <w:sz w:val="24"/>
                      <w:szCs w:val="24"/>
                    </w:rPr>
                  </w:pPr>
                  <w:r>
                    <w:rPr>
                      <w:rFonts w:hint="eastAsia" w:ascii="宋体" w:hAnsi="宋体" w:eastAsia="宋体" w:cs="宋体"/>
                      <w:bCs/>
                      <w:sz w:val="24"/>
                      <w:szCs w:val="24"/>
                    </w:rPr>
                    <w:t> </w:t>
                  </w:r>
                  <w:r>
                    <w:rPr>
                      <w:rFonts w:hint="eastAsia" w:ascii="宋体" w:hAnsi="宋体" w:eastAsia="宋体" w:cs="宋体"/>
                      <w:b w:val="0"/>
                      <w:bCs/>
                      <w:sz w:val="24"/>
                      <w:szCs w:val="24"/>
                    </w:rPr>
                    <w:t>评标总得分T=A+B+C</w:t>
                  </w:r>
                  <w:r>
                    <w:rPr>
                      <w:rFonts w:hint="eastAsia" w:ascii="宋体" w:hAnsi="宋体" w:eastAsia="宋体" w:cs="宋体"/>
                      <w:bCs/>
                      <w:sz w:val="24"/>
                      <w:szCs w:val="24"/>
                    </w:rPr>
                    <w:t xml:space="preserve"> </w:t>
                  </w:r>
                  <w:r>
                    <w:rPr>
                      <w:rFonts w:hint="eastAsia" w:ascii="宋体" w:hAnsi="宋体" w:eastAsia="宋体" w:cs="宋体"/>
                      <w:bCs/>
                      <w:sz w:val="24"/>
                      <w:szCs w:val="24"/>
                    </w:rPr>
                    <w:br w:type="textWrapping"/>
                  </w:r>
                  <w:r>
                    <w:rPr>
                      <w:rFonts w:hint="eastAsia" w:ascii="宋体" w:hAnsi="宋体" w:eastAsia="宋体" w:cs="宋体"/>
                      <w:bCs/>
                      <w:sz w:val="24"/>
                      <w:szCs w:val="24"/>
                    </w:rPr>
                    <w:t xml:space="preserve">        注：评标总得分保留小数点后2位。 </w:t>
                  </w:r>
                </w:p>
              </w:tc>
            </w:tr>
            <w:tr w14:paraId="7AD99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3D5AC0A9">
                  <w:pPr>
                    <w:widowControl/>
                    <w:spacing w:line="360" w:lineRule="auto"/>
                    <w:jc w:val="left"/>
                    <w:rPr>
                      <w:rFonts w:hint="eastAsia" w:ascii="宋体" w:hAnsi="宋体" w:eastAsia="宋体" w:cs="宋体"/>
                      <w:bCs/>
                      <w:sz w:val="24"/>
                      <w:szCs w:val="24"/>
                    </w:rPr>
                  </w:pPr>
                  <w:r>
                    <w:rPr>
                      <w:rFonts w:hint="eastAsia" w:ascii="宋体" w:hAnsi="宋体" w:eastAsia="宋体" w:cs="宋体"/>
                      <w:bCs/>
                      <w:sz w:val="24"/>
                      <w:szCs w:val="24"/>
                    </w:rPr>
                    <w:t>注：评标委员会对投标人所提供的资格类文件仅负审核的责任。即使投标人所提交的资格类文件通过了审核，在评标过程中乃至确定中标方后，如发现投标人所提供的资格类文件不合法或不真实，仍可废除中标方中标资格并追究中标方的法律责任。</w:t>
                  </w:r>
                </w:p>
              </w:tc>
            </w:tr>
          </w:tbl>
          <w:p w14:paraId="445854D8">
            <w:pPr>
              <w:keepNext w:val="0"/>
              <w:keepLines w:val="0"/>
              <w:pageBreakBefore w:val="0"/>
              <w:kinsoku/>
              <w:wordWrap/>
              <w:overflowPunct/>
              <w:topLinePunct w:val="0"/>
              <w:autoSpaceDE/>
              <w:autoSpaceDN/>
              <w:bidi w:val="0"/>
              <w:adjustRightInd/>
              <w:snapToGrid w:val="0"/>
              <w:spacing w:line="460" w:lineRule="exact"/>
              <w:rPr>
                <w:rFonts w:hint="default"/>
                <w:lang w:val="en-US" w:eastAsia="zh-CN"/>
              </w:rPr>
            </w:pPr>
          </w:p>
          <w:p w14:paraId="5AD30845">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sz w:val="26"/>
                <w:szCs w:val="26"/>
              </w:rPr>
            </w:pPr>
            <w:r>
              <w:rPr>
                <w:rFonts w:hint="eastAsia" w:ascii="仿宋_GB2312" w:hAnsi="仿宋_GB2312" w:eastAsia="仿宋_GB2312" w:cs="仿宋_GB2312"/>
                <w:b/>
                <w:sz w:val="26"/>
                <w:szCs w:val="26"/>
                <w:lang w:val="en-US" w:eastAsia="zh-CN"/>
              </w:rPr>
              <w:t>五、商务</w:t>
            </w:r>
            <w:r>
              <w:rPr>
                <w:rFonts w:hint="eastAsia" w:ascii="仿宋_GB2312" w:hAnsi="仿宋_GB2312" w:eastAsia="仿宋_GB2312" w:cs="仿宋_GB2312"/>
                <w:b/>
                <w:sz w:val="26"/>
                <w:szCs w:val="26"/>
              </w:rPr>
              <w:t>要求</w:t>
            </w:r>
          </w:p>
          <w:p w14:paraId="6AF4A543">
            <w:pPr>
              <w:pStyle w:val="2"/>
              <w:keepNext w:val="0"/>
              <w:keepLines w:val="0"/>
              <w:pageBreakBefore w:val="0"/>
              <w:kinsoku/>
              <w:wordWrap/>
              <w:overflowPunct/>
              <w:topLinePunct w:val="0"/>
              <w:autoSpaceDE/>
              <w:autoSpaceDN/>
              <w:bidi w:val="0"/>
              <w:adjustRightInd/>
              <w:spacing w:line="460" w:lineRule="exact"/>
              <w:ind w:firstLine="520" w:firstLineChars="200"/>
              <w:rPr>
                <w:rFonts w:hint="eastAsia" w:ascii="仿宋_GB2312" w:hAnsi="仿宋_GB2312" w:eastAsia="仿宋_GB2312" w:cs="仿宋_GB2312"/>
                <w:color w:val="FF0000"/>
                <w:sz w:val="26"/>
                <w:szCs w:val="26"/>
              </w:rPr>
            </w:pPr>
            <w:r>
              <w:rPr>
                <w:rFonts w:hint="eastAsia" w:ascii="仿宋_GB2312" w:hAnsi="仿宋_GB2312" w:eastAsia="仿宋_GB2312" w:cs="仿宋_GB2312"/>
                <w:color w:val="FF0000"/>
                <w:sz w:val="26"/>
                <w:szCs w:val="26"/>
              </w:rPr>
              <w:t>（包含但不限制于以下内容。。。。）</w:t>
            </w:r>
          </w:p>
          <w:p w14:paraId="67ABDABE">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bCs w:val="0"/>
                <w:sz w:val="26"/>
                <w:szCs w:val="26"/>
                <w:lang w:val="en-US" w:eastAsia="zh-CN"/>
              </w:rPr>
            </w:pPr>
            <w:r>
              <w:rPr>
                <w:rFonts w:hint="eastAsia" w:ascii="仿宋_GB2312" w:hAnsi="仿宋_GB2312" w:eastAsia="仿宋_GB2312" w:cs="仿宋_GB2312"/>
                <w:b/>
                <w:bCs w:val="0"/>
                <w:sz w:val="26"/>
                <w:szCs w:val="26"/>
                <w:lang w:val="en-US" w:eastAsia="zh-CN"/>
              </w:rPr>
              <w:t>1.服务时间：</w:t>
            </w:r>
            <w:r>
              <w:rPr>
                <w:rFonts w:hint="eastAsia" w:ascii="仿宋_GB2312" w:hAnsi="仿宋_GB2312" w:eastAsia="仿宋_GB2312" w:cs="仿宋_GB2312"/>
                <w:b w:val="0"/>
                <w:bCs/>
                <w:sz w:val="26"/>
                <w:szCs w:val="26"/>
                <w:lang w:val="en-US" w:eastAsia="zh-CN"/>
              </w:rPr>
              <w:t>X年，X年X月X日至X年X月X日。</w:t>
            </w:r>
          </w:p>
          <w:p w14:paraId="341EEF60">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bCs w:val="0"/>
                <w:sz w:val="26"/>
                <w:szCs w:val="26"/>
                <w:lang w:val="en-US" w:eastAsia="zh-CN"/>
              </w:rPr>
            </w:pPr>
            <w:r>
              <w:rPr>
                <w:rFonts w:hint="eastAsia" w:ascii="仿宋_GB2312" w:hAnsi="仿宋_GB2312" w:eastAsia="仿宋_GB2312" w:cs="仿宋_GB2312"/>
                <w:b/>
                <w:bCs w:val="0"/>
                <w:sz w:val="26"/>
                <w:szCs w:val="26"/>
                <w:lang w:val="en-US" w:eastAsia="zh-CN"/>
              </w:rPr>
              <w:t>2.服务地点：</w:t>
            </w:r>
            <w:r>
              <w:rPr>
                <w:rFonts w:hint="eastAsia" w:ascii="仿宋_GB2312" w:hAnsi="仿宋_GB2312" w:eastAsia="仿宋_GB2312" w:cs="仿宋_GB2312"/>
                <w:b w:val="0"/>
                <w:bCs/>
                <w:sz w:val="26"/>
                <w:szCs w:val="26"/>
                <w:lang w:val="en-US" w:eastAsia="zh-CN"/>
              </w:rPr>
              <w:t>福建师范大学协和学院。</w:t>
            </w:r>
          </w:p>
          <w:p w14:paraId="3A6815BC">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bCs w:val="0"/>
                <w:sz w:val="26"/>
                <w:szCs w:val="26"/>
                <w:lang w:val="en-US" w:eastAsia="zh-CN"/>
              </w:rPr>
            </w:pPr>
            <w:r>
              <w:rPr>
                <w:rFonts w:hint="eastAsia" w:ascii="仿宋_GB2312" w:hAnsi="仿宋_GB2312" w:eastAsia="仿宋_GB2312" w:cs="仿宋_GB2312"/>
                <w:b/>
                <w:bCs w:val="0"/>
                <w:sz w:val="26"/>
                <w:szCs w:val="26"/>
                <w:lang w:val="en-US" w:eastAsia="zh-CN"/>
              </w:rPr>
              <w:t>3.是否收取履约保证金：X%。</w:t>
            </w:r>
            <w:r>
              <w:rPr>
                <w:rFonts w:hint="eastAsia" w:ascii="仿宋_GB2312" w:hAnsi="仿宋_GB2312" w:eastAsia="仿宋_GB2312" w:cs="仿宋_GB2312"/>
                <w:b w:val="0"/>
                <w:bCs/>
                <w:sz w:val="26"/>
                <w:szCs w:val="26"/>
                <w:lang w:val="en-US" w:eastAsia="zh-CN"/>
              </w:rPr>
              <w:t>说明：中标人在签订采购合同前应向采购人缴纳合同总金额的X%作为履约保证金（本项目是/否专门面向中小企业的采购项目，若本项目中标人为中小微企业（须提供声明函），缴纳履约保证金的金额为合同总金额X%），该履约保证金于服务期满中标人完整履行合同且无违约的前提下无息退还。</w:t>
            </w:r>
          </w:p>
          <w:p w14:paraId="6A132F0F">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bCs/>
                <w:sz w:val="26"/>
                <w:szCs w:val="26"/>
              </w:rPr>
            </w:pPr>
            <w:r>
              <w:rPr>
                <w:rFonts w:hint="eastAsia" w:ascii="仿宋_GB2312" w:hAnsi="仿宋_GB2312" w:eastAsia="仿宋_GB2312" w:cs="仿宋_GB2312"/>
                <w:b/>
                <w:bCs/>
                <w:sz w:val="26"/>
                <w:szCs w:val="26"/>
                <w:lang w:val="en-US" w:eastAsia="zh-CN"/>
              </w:rPr>
              <w:t>4.验收要求</w:t>
            </w:r>
            <w:r>
              <w:rPr>
                <w:rFonts w:hint="eastAsia" w:ascii="仿宋_GB2312" w:hAnsi="仿宋_GB2312" w:eastAsia="仿宋_GB2312" w:cs="仿宋_GB2312"/>
                <w:color w:val="FF0000"/>
                <w:sz w:val="26"/>
                <w:szCs w:val="26"/>
              </w:rPr>
              <w:t>（以下</w:t>
            </w:r>
            <w:r>
              <w:rPr>
                <w:rFonts w:hint="eastAsia" w:ascii="仿宋_GB2312" w:hAnsi="仿宋_GB2312" w:eastAsia="仿宋_GB2312" w:cs="仿宋_GB2312"/>
                <w:color w:val="FF0000"/>
                <w:sz w:val="26"/>
                <w:szCs w:val="26"/>
                <w:lang w:val="en-US" w:eastAsia="zh-CN"/>
              </w:rPr>
              <w:t>为举例</w:t>
            </w:r>
            <w:r>
              <w:rPr>
                <w:rFonts w:hint="eastAsia" w:ascii="仿宋_GB2312" w:hAnsi="仿宋_GB2312" w:eastAsia="仿宋_GB2312" w:cs="仿宋_GB2312"/>
                <w:color w:val="FF0000"/>
                <w:sz w:val="26"/>
                <w:szCs w:val="26"/>
              </w:rPr>
              <w:t>参考，可根据项目实际</w:t>
            </w:r>
            <w:r>
              <w:rPr>
                <w:rFonts w:hint="eastAsia" w:ascii="仿宋_GB2312" w:hAnsi="仿宋_GB2312" w:eastAsia="仿宋_GB2312" w:cs="仿宋_GB2312"/>
                <w:color w:val="FF0000"/>
                <w:sz w:val="26"/>
                <w:szCs w:val="26"/>
                <w:lang w:val="en-US" w:eastAsia="zh-CN"/>
              </w:rPr>
              <w:t>自行修改</w:t>
            </w:r>
            <w:r>
              <w:rPr>
                <w:rFonts w:hint="eastAsia" w:ascii="仿宋_GB2312" w:hAnsi="仿宋_GB2312" w:eastAsia="仿宋_GB2312" w:cs="仿宋_GB2312"/>
                <w:color w:val="FF0000"/>
                <w:sz w:val="26"/>
                <w:szCs w:val="26"/>
              </w:rPr>
              <w:t>）</w:t>
            </w:r>
          </w:p>
          <w:p w14:paraId="66D5F6A5">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lang w:val="en-US" w:eastAsia="zh-CN"/>
              </w:rPr>
            </w:pPr>
            <w:r>
              <w:rPr>
                <w:rFonts w:hint="eastAsia" w:ascii="仿宋_GB2312" w:hAnsi="仿宋_GB2312" w:eastAsia="仿宋_GB2312" w:cs="仿宋_GB2312"/>
                <w:sz w:val="26"/>
                <w:szCs w:val="26"/>
                <w:lang w:val="en-US" w:eastAsia="zh-CN"/>
              </w:rPr>
              <w:t>4.1采购人根据本合同与本次采购有关的相关书面材料负责验收。中标人所提供的服务，采购人必须按本合同所约定的情况进行验收，中标人必须在验收现场提供必要的技术支持及项目介绍说明。正式验收前，中标人须提供符合本合同所约定的相关服务成果材料，如涉及部分因服务所需增加的货物等，中标人需同时提供货物制造商出具的完整的技术资料。</w:t>
            </w:r>
          </w:p>
          <w:p w14:paraId="743DED00">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lang w:val="en-US" w:eastAsia="zh-CN"/>
              </w:rPr>
            </w:pPr>
            <w:r>
              <w:rPr>
                <w:rFonts w:hint="eastAsia" w:ascii="仿宋_GB2312" w:hAnsi="仿宋_GB2312" w:eastAsia="仿宋_GB2312" w:cs="仿宋_GB2312"/>
                <w:sz w:val="26"/>
                <w:szCs w:val="26"/>
                <w:lang w:val="en-US" w:eastAsia="zh-CN"/>
              </w:rPr>
              <w:t>4.2采购人最终应在中标人所提供的服务安装调试完成并提交验收组织单位后20个工作日内验收完毕。验收结果应该按《</w:t>
            </w:r>
            <w:r>
              <w:rPr>
                <w:rFonts w:hint="eastAsia" w:ascii="仿宋_GB2312" w:hAnsi="仿宋_GB2312" w:eastAsia="仿宋_GB2312" w:cs="仿宋_GB2312"/>
                <w:color w:val="auto"/>
                <w:sz w:val="26"/>
                <w:szCs w:val="26"/>
              </w:rPr>
              <w:t>福建师范大学协和学院采购管理办法（试行）</w:t>
            </w:r>
            <w:r>
              <w:rPr>
                <w:rFonts w:hint="eastAsia" w:ascii="仿宋_GB2312" w:hAnsi="仿宋_GB2312" w:eastAsia="仿宋_GB2312" w:cs="仿宋_GB2312"/>
                <w:sz w:val="26"/>
                <w:szCs w:val="26"/>
                <w:lang w:val="en-US" w:eastAsia="zh-CN"/>
              </w:rPr>
              <w:t>》上的验收管理规定，对照本合同填好相关验收资料（壹式伍份）并签名、加盖公章，采购人留存肆份，中标人留存壹份。</w:t>
            </w:r>
          </w:p>
          <w:p w14:paraId="2478B4CC">
            <w:pPr>
              <w:keepNext w:val="0"/>
              <w:keepLines w:val="0"/>
              <w:pageBreakBefore w:val="0"/>
              <w:kinsoku/>
              <w:wordWrap/>
              <w:overflowPunct/>
              <w:topLinePunct w:val="0"/>
              <w:autoSpaceDE/>
              <w:autoSpaceDN/>
              <w:bidi w:val="0"/>
              <w:adjustRightInd/>
              <w:spacing w:line="460" w:lineRule="exact"/>
              <w:ind w:firstLine="520" w:firstLineChars="20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4.3如发现中标人提供的服务与合同约定不符或质量不符合约定的，中标人应承担违约责任，采购人有权拒绝接受并向中标人提出索赔</w:t>
            </w:r>
          </w:p>
          <w:p w14:paraId="7005D6A4">
            <w:pPr>
              <w:keepNext w:val="0"/>
              <w:keepLines w:val="0"/>
              <w:pageBreakBefore w:val="0"/>
              <w:widowControl/>
              <w:kinsoku/>
              <w:wordWrap/>
              <w:overflowPunct/>
              <w:topLinePunct w:val="0"/>
              <w:autoSpaceDE/>
              <w:autoSpaceDN/>
              <w:bidi w:val="0"/>
              <w:adjustRightInd/>
              <w:spacing w:line="460" w:lineRule="exact"/>
              <w:ind w:firstLine="520" w:firstLineChars="200"/>
              <w:jc w:val="left"/>
              <w:rPr>
                <w:rStyle w:val="11"/>
                <w:rFonts w:hint="eastAsia" w:ascii="仿宋_GB2312" w:hAnsi="仿宋_GB2312" w:eastAsia="仿宋_GB2312" w:cs="仿宋_GB2312"/>
                <w:color w:val="auto"/>
                <w:kern w:val="0"/>
                <w:sz w:val="26"/>
                <w:szCs w:val="26"/>
                <w:lang w:eastAsia="zh-CN"/>
              </w:rPr>
            </w:pPr>
            <w:r>
              <w:rPr>
                <w:rFonts w:hint="eastAsia" w:ascii="仿宋_GB2312" w:hAnsi="仿宋_GB2312" w:eastAsia="仿宋_GB2312" w:cs="仿宋_GB2312"/>
                <w:bCs/>
                <w:sz w:val="26"/>
                <w:szCs w:val="26"/>
                <w:lang w:val="en-US" w:eastAsia="zh-CN"/>
              </w:rPr>
              <w:t>5.</w:t>
            </w:r>
            <w:r>
              <w:rPr>
                <w:rStyle w:val="11"/>
                <w:rFonts w:hint="eastAsia" w:ascii="仿宋_GB2312" w:hAnsi="仿宋_GB2312" w:eastAsia="仿宋_GB2312" w:cs="仿宋_GB2312"/>
                <w:color w:val="auto"/>
                <w:kern w:val="0"/>
                <w:sz w:val="26"/>
                <w:szCs w:val="26"/>
              </w:rPr>
              <w:t>支付方式</w:t>
            </w:r>
            <w:r>
              <w:rPr>
                <w:rFonts w:hint="eastAsia" w:ascii="仿宋_GB2312" w:hAnsi="仿宋_GB2312" w:eastAsia="仿宋_GB2312" w:cs="仿宋_GB2312"/>
                <w:color w:val="FF0000"/>
                <w:sz w:val="26"/>
                <w:szCs w:val="26"/>
                <w:lang w:val="en-US" w:eastAsia="zh-CN"/>
              </w:rPr>
              <w:t>（以下为举例参考，可根据项目实际自行修改）</w:t>
            </w:r>
          </w:p>
          <w:tbl>
            <w:tblPr>
              <w:tblStyle w:val="8"/>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31"/>
              <w:gridCol w:w="1731"/>
              <w:gridCol w:w="6506"/>
            </w:tblGrid>
            <w:tr w14:paraId="76AD8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1431" w:type="dxa"/>
                  <w:noWrap w:val="0"/>
                  <w:vAlign w:val="center"/>
                </w:tcPr>
                <w:p w14:paraId="5C845F25">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kern w:val="0"/>
                      <w:sz w:val="26"/>
                      <w:szCs w:val="26"/>
                      <w:lang w:bidi="ar"/>
                    </w:rPr>
                    <w:t>支付期次</w:t>
                  </w:r>
                </w:p>
              </w:tc>
              <w:tc>
                <w:tcPr>
                  <w:tcW w:w="1731" w:type="dxa"/>
                  <w:noWrap w:val="0"/>
                  <w:vAlign w:val="center"/>
                </w:tcPr>
                <w:p w14:paraId="127FB55B">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kern w:val="0"/>
                      <w:sz w:val="26"/>
                      <w:szCs w:val="26"/>
                      <w:lang w:bidi="ar"/>
                    </w:rPr>
                    <w:t>支付比例(%)</w:t>
                  </w:r>
                </w:p>
              </w:tc>
              <w:tc>
                <w:tcPr>
                  <w:tcW w:w="6506" w:type="dxa"/>
                  <w:noWrap w:val="0"/>
                  <w:vAlign w:val="center"/>
                </w:tcPr>
                <w:p w14:paraId="0EA6F610">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kern w:val="0"/>
                      <w:sz w:val="26"/>
                      <w:szCs w:val="26"/>
                      <w:lang w:bidi="ar"/>
                    </w:rPr>
                    <w:t>支付期次说明</w:t>
                  </w:r>
                </w:p>
              </w:tc>
            </w:tr>
            <w:tr w14:paraId="0CE85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blCellSpacing w:w="0" w:type="dxa"/>
              </w:trPr>
              <w:tc>
                <w:tcPr>
                  <w:tcW w:w="1431" w:type="dxa"/>
                  <w:noWrap w:val="0"/>
                  <w:vAlign w:val="center"/>
                </w:tcPr>
                <w:p w14:paraId="1FF94023">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auto"/>
                      <w:kern w:val="0"/>
                      <w:sz w:val="26"/>
                      <w:szCs w:val="26"/>
                      <w:highlight w:val="none"/>
                      <w:lang w:bidi="ar"/>
                    </w:rPr>
                  </w:pPr>
                  <w:r>
                    <w:rPr>
                      <w:rFonts w:hint="eastAsia" w:ascii="仿宋_GB2312" w:hAnsi="仿宋_GB2312" w:eastAsia="仿宋_GB2312" w:cs="仿宋_GB2312"/>
                      <w:color w:val="auto"/>
                      <w:kern w:val="0"/>
                      <w:sz w:val="26"/>
                      <w:szCs w:val="26"/>
                      <w:highlight w:val="none"/>
                      <w:lang w:bidi="ar"/>
                    </w:rPr>
                    <w:t>1</w:t>
                  </w:r>
                </w:p>
              </w:tc>
              <w:tc>
                <w:tcPr>
                  <w:tcW w:w="1731" w:type="dxa"/>
                  <w:noWrap w:val="0"/>
                  <w:vAlign w:val="center"/>
                </w:tcPr>
                <w:p w14:paraId="73F68F09">
                  <w:pPr>
                    <w:keepNext w:val="0"/>
                    <w:keepLines w:val="0"/>
                    <w:pageBreakBefore w:val="0"/>
                    <w:widowControl/>
                    <w:kinsoku/>
                    <w:wordWrap/>
                    <w:overflowPunct/>
                    <w:topLinePunct w:val="0"/>
                    <w:autoSpaceDE/>
                    <w:autoSpaceDN/>
                    <w:bidi w:val="0"/>
                    <w:adjustRightInd/>
                    <w:spacing w:line="460" w:lineRule="exact"/>
                    <w:jc w:val="center"/>
                    <w:rPr>
                      <w:rFonts w:hint="default" w:ascii="仿宋_GB2312" w:hAnsi="仿宋_GB2312" w:eastAsia="仿宋_GB2312" w:cs="仿宋_GB2312"/>
                      <w:color w:val="auto"/>
                      <w:kern w:val="0"/>
                      <w:sz w:val="26"/>
                      <w:szCs w:val="26"/>
                      <w:highlight w:val="none"/>
                      <w:lang w:val="en-US" w:eastAsia="zh-CN" w:bidi="ar"/>
                    </w:rPr>
                  </w:pPr>
                  <w:r>
                    <w:rPr>
                      <w:rFonts w:hint="eastAsia" w:ascii="仿宋_GB2312" w:hAnsi="仿宋_GB2312" w:eastAsia="仿宋_GB2312" w:cs="仿宋_GB2312"/>
                      <w:color w:val="FF0000"/>
                      <w:kern w:val="0"/>
                      <w:sz w:val="26"/>
                      <w:szCs w:val="26"/>
                      <w:highlight w:val="yellow"/>
                      <w:lang w:val="en-US" w:eastAsia="zh-CN" w:bidi="ar"/>
                    </w:rPr>
                    <w:t>50</w:t>
                  </w:r>
                </w:p>
              </w:tc>
              <w:tc>
                <w:tcPr>
                  <w:tcW w:w="6506" w:type="dxa"/>
                  <w:noWrap w:val="0"/>
                  <w:vAlign w:val="center"/>
                </w:tcPr>
                <w:p w14:paraId="4205C174">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kern w:val="0"/>
                      <w:sz w:val="26"/>
                      <w:szCs w:val="26"/>
                      <w:highlight w:val="none"/>
                      <w:lang w:bidi="ar"/>
                    </w:rPr>
                  </w:pPr>
                  <w:r>
                    <w:rPr>
                      <w:rFonts w:hint="eastAsia" w:ascii="宋体" w:hAnsi="宋体" w:eastAsia="宋体" w:cs="宋体"/>
                      <w:sz w:val="24"/>
                      <w:szCs w:val="24"/>
                    </w:rPr>
                    <w:t>第一年项目</w:t>
                  </w:r>
                  <w:r>
                    <w:rPr>
                      <w:rFonts w:hint="eastAsia" w:ascii="宋体" w:hAnsi="宋体" w:eastAsia="宋体" w:cs="宋体"/>
                      <w:sz w:val="24"/>
                      <w:szCs w:val="24"/>
                      <w:lang w:val="en-US" w:eastAsia="zh-CN"/>
                    </w:rPr>
                    <w:t>服务</w:t>
                  </w:r>
                  <w:r>
                    <w:rPr>
                      <w:rFonts w:hint="eastAsia" w:ascii="宋体" w:hAnsi="宋体" w:eastAsia="宋体" w:cs="宋体"/>
                      <w:sz w:val="24"/>
                      <w:szCs w:val="24"/>
                    </w:rPr>
                    <w:t>完成（如遇寒暑假等情况，适当顺延），采购人对供应商服务进行验收，经验收合格后，采购方支付合同总金额的50%</w:t>
                  </w:r>
                </w:p>
              </w:tc>
            </w:tr>
            <w:tr w14:paraId="3FBDF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blCellSpacing w:w="0" w:type="dxa"/>
              </w:trPr>
              <w:tc>
                <w:tcPr>
                  <w:tcW w:w="1431" w:type="dxa"/>
                  <w:noWrap w:val="0"/>
                  <w:vAlign w:val="center"/>
                </w:tcPr>
                <w:p w14:paraId="5E2966DF">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auto"/>
                      <w:kern w:val="0"/>
                      <w:sz w:val="26"/>
                      <w:szCs w:val="26"/>
                      <w:highlight w:val="none"/>
                      <w:lang w:val="en-US" w:eastAsia="zh-CN" w:bidi="ar"/>
                    </w:rPr>
                  </w:pPr>
                  <w:r>
                    <w:rPr>
                      <w:rFonts w:hint="eastAsia" w:ascii="仿宋_GB2312" w:hAnsi="仿宋_GB2312" w:eastAsia="仿宋_GB2312" w:cs="仿宋_GB2312"/>
                      <w:color w:val="auto"/>
                      <w:kern w:val="0"/>
                      <w:sz w:val="26"/>
                      <w:szCs w:val="26"/>
                      <w:highlight w:val="none"/>
                      <w:lang w:val="en-US" w:eastAsia="zh-CN" w:bidi="ar"/>
                    </w:rPr>
                    <w:t>2</w:t>
                  </w:r>
                </w:p>
              </w:tc>
              <w:tc>
                <w:tcPr>
                  <w:tcW w:w="1731" w:type="dxa"/>
                  <w:noWrap w:val="0"/>
                  <w:vAlign w:val="center"/>
                </w:tcPr>
                <w:p w14:paraId="3EC6024D">
                  <w:pPr>
                    <w:keepNext w:val="0"/>
                    <w:keepLines w:val="0"/>
                    <w:pageBreakBefore w:val="0"/>
                    <w:widowControl/>
                    <w:kinsoku/>
                    <w:wordWrap/>
                    <w:overflowPunct/>
                    <w:topLinePunct w:val="0"/>
                    <w:autoSpaceDE/>
                    <w:autoSpaceDN/>
                    <w:bidi w:val="0"/>
                    <w:adjustRightInd/>
                    <w:spacing w:line="460" w:lineRule="exact"/>
                    <w:jc w:val="center"/>
                    <w:rPr>
                      <w:rFonts w:hint="default" w:ascii="仿宋_GB2312" w:hAnsi="仿宋_GB2312" w:eastAsia="仿宋_GB2312" w:cs="仿宋_GB2312"/>
                      <w:color w:val="auto"/>
                      <w:kern w:val="0"/>
                      <w:sz w:val="26"/>
                      <w:szCs w:val="26"/>
                      <w:highlight w:val="yellow"/>
                      <w:lang w:val="en-US" w:eastAsia="zh-CN" w:bidi="ar"/>
                    </w:rPr>
                  </w:pPr>
                  <w:r>
                    <w:rPr>
                      <w:rFonts w:hint="eastAsia" w:ascii="仿宋_GB2312" w:hAnsi="仿宋_GB2312" w:eastAsia="仿宋_GB2312" w:cs="仿宋_GB2312"/>
                      <w:color w:val="FF0000"/>
                      <w:kern w:val="0"/>
                      <w:sz w:val="26"/>
                      <w:szCs w:val="26"/>
                      <w:highlight w:val="yellow"/>
                      <w:lang w:val="en-US" w:eastAsia="zh-CN" w:bidi="ar"/>
                    </w:rPr>
                    <w:t>50</w:t>
                  </w:r>
                </w:p>
              </w:tc>
              <w:tc>
                <w:tcPr>
                  <w:tcW w:w="6506" w:type="dxa"/>
                  <w:noWrap w:val="0"/>
                  <w:vAlign w:val="center"/>
                </w:tcPr>
                <w:p w14:paraId="3960D818">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sz w:val="26"/>
                      <w:szCs w:val="26"/>
                      <w:lang w:val="en-US" w:eastAsia="zh-CN"/>
                    </w:rPr>
                  </w:pPr>
                  <w:r>
                    <w:rPr>
                      <w:rFonts w:hint="eastAsia" w:ascii="宋体" w:hAnsi="宋体" w:eastAsia="宋体" w:cs="宋体"/>
                      <w:sz w:val="24"/>
                      <w:szCs w:val="24"/>
                    </w:rPr>
                    <w:t>第二年项目</w:t>
                  </w:r>
                  <w:r>
                    <w:rPr>
                      <w:rFonts w:hint="eastAsia" w:ascii="宋体" w:hAnsi="宋体" w:eastAsia="宋体" w:cs="宋体"/>
                      <w:sz w:val="24"/>
                      <w:szCs w:val="24"/>
                      <w:lang w:val="en-US" w:eastAsia="zh-CN"/>
                    </w:rPr>
                    <w:t>服务</w:t>
                  </w:r>
                  <w:r>
                    <w:rPr>
                      <w:rFonts w:hint="eastAsia" w:ascii="宋体" w:hAnsi="宋体" w:eastAsia="宋体" w:cs="宋体"/>
                      <w:sz w:val="24"/>
                      <w:szCs w:val="24"/>
                    </w:rPr>
                    <w:t>完成（如遇寒暑假等情况，适当顺延)，采购人对供应商服务进行验收，经验收合格后，结清剩余合同金额。</w:t>
                  </w:r>
                </w:p>
              </w:tc>
            </w:tr>
          </w:tbl>
          <w:p w14:paraId="190D4C9D">
            <w:pPr>
              <w:spacing w:line="460" w:lineRule="exact"/>
              <w:ind w:firstLine="522" w:firstLineChars="200"/>
              <w:jc w:val="left"/>
            </w:pPr>
            <w:r>
              <w:rPr>
                <w:rFonts w:hint="eastAsia" w:ascii="仿宋_GB2312" w:hAnsi="仿宋_GB2312" w:eastAsia="仿宋_GB2312" w:cs="仿宋_GB2312"/>
                <w:b/>
                <w:bCs w:val="0"/>
                <w:sz w:val="26"/>
                <w:szCs w:val="26"/>
                <w:lang w:val="en-US" w:eastAsia="zh-CN"/>
              </w:rPr>
              <w:t>6.服务所含货物</w:t>
            </w:r>
            <w:r>
              <w:rPr>
                <w:rFonts w:hint="eastAsia" w:ascii="仿宋_GB2312" w:hAnsi="仿宋_GB2312" w:eastAsia="仿宋_GB2312" w:cs="仿宋_GB2312"/>
                <w:b/>
                <w:bCs w:val="0"/>
                <w:sz w:val="26"/>
                <w:szCs w:val="26"/>
              </w:rPr>
              <w:t>安装、调试要求</w:t>
            </w:r>
          </w:p>
          <w:p w14:paraId="4848015D">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
                <w:sz w:val="26"/>
                <w:szCs w:val="26"/>
              </w:rPr>
            </w:pPr>
            <w:r>
              <w:rPr>
                <w:rFonts w:hint="eastAsia" w:ascii="仿宋_GB2312" w:hAnsi="仿宋_GB2312" w:eastAsia="仿宋_GB2312" w:cs="仿宋_GB2312"/>
                <w:color w:val="FF0000"/>
                <w:sz w:val="26"/>
                <w:szCs w:val="26"/>
              </w:rPr>
              <w:t>（注：以下</w:t>
            </w:r>
            <w:r>
              <w:rPr>
                <w:rFonts w:hint="eastAsia" w:ascii="仿宋_GB2312" w:hAnsi="仿宋_GB2312" w:eastAsia="仿宋_GB2312" w:cs="仿宋_GB2312"/>
                <w:color w:val="FF0000"/>
                <w:sz w:val="26"/>
                <w:szCs w:val="26"/>
                <w:lang w:val="en-US" w:eastAsia="zh-CN"/>
              </w:rPr>
              <w:t>为举例</w:t>
            </w:r>
            <w:r>
              <w:rPr>
                <w:rFonts w:hint="eastAsia" w:ascii="仿宋_GB2312" w:hAnsi="仿宋_GB2312" w:eastAsia="仿宋_GB2312" w:cs="仿宋_GB2312"/>
                <w:color w:val="FF0000"/>
                <w:sz w:val="26"/>
                <w:szCs w:val="26"/>
              </w:rPr>
              <w:t>参考，可根据项目实际</w:t>
            </w:r>
            <w:r>
              <w:rPr>
                <w:rFonts w:hint="eastAsia" w:ascii="仿宋_GB2312" w:hAnsi="仿宋_GB2312" w:eastAsia="仿宋_GB2312" w:cs="仿宋_GB2312"/>
                <w:color w:val="FF0000"/>
                <w:sz w:val="26"/>
                <w:szCs w:val="26"/>
                <w:lang w:val="en-US" w:eastAsia="zh-CN"/>
              </w:rPr>
              <w:t>自行</w:t>
            </w:r>
            <w:r>
              <w:rPr>
                <w:rFonts w:hint="eastAsia" w:ascii="仿宋_GB2312" w:hAnsi="仿宋_GB2312" w:eastAsia="仿宋_GB2312" w:cs="仿宋_GB2312"/>
                <w:color w:val="FF0000"/>
                <w:sz w:val="26"/>
                <w:szCs w:val="26"/>
              </w:rPr>
              <w:t>修改）</w:t>
            </w:r>
          </w:p>
          <w:p w14:paraId="13F3BC26">
            <w:pPr>
              <w:pStyle w:val="17"/>
              <w:keepNext w:val="0"/>
              <w:keepLines w:val="0"/>
              <w:pageBreakBefore w:val="0"/>
              <w:kinsoku/>
              <w:wordWrap/>
              <w:overflowPunct/>
              <w:topLinePunct w:val="0"/>
              <w:autoSpaceDE/>
              <w:autoSpaceDN/>
              <w:bidi w:val="0"/>
              <w:adjustRightInd/>
              <w:spacing w:line="300" w:lineRule="auto"/>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6.1</w:t>
            </w:r>
            <w:r>
              <w:rPr>
                <w:rFonts w:hint="eastAsia" w:ascii="仿宋_GB2312" w:hAnsi="仿宋_GB2312" w:eastAsia="仿宋_GB2312" w:cs="仿宋_GB2312"/>
                <w:sz w:val="26"/>
                <w:szCs w:val="26"/>
              </w:rPr>
              <w:t>中标人在货物安装前可派员进行实地勘察，确保顺利安装与运行维护，并在货物运抵现场一周前，向采购人提供详细的安装要求。</w:t>
            </w:r>
          </w:p>
          <w:p w14:paraId="006A79D9">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6.2</w:t>
            </w:r>
            <w:r>
              <w:rPr>
                <w:rFonts w:hint="eastAsia" w:ascii="仿宋_GB2312" w:hAnsi="仿宋_GB2312" w:eastAsia="仿宋_GB2312" w:cs="仿宋_GB2312"/>
                <w:sz w:val="26"/>
                <w:szCs w:val="26"/>
              </w:rPr>
              <w:t>中标人负责运输费用，中标人负责派技术人员到现场进行安装、调试，直至验收合格。</w:t>
            </w:r>
          </w:p>
          <w:p w14:paraId="253680A3">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6.3</w:t>
            </w:r>
            <w:r>
              <w:rPr>
                <w:rFonts w:hint="eastAsia" w:ascii="仿宋_GB2312" w:hAnsi="仿宋_GB2312" w:eastAsia="仿宋_GB2312" w:cs="仿宋_GB2312"/>
                <w:sz w:val="26"/>
                <w:szCs w:val="26"/>
              </w:rPr>
              <w:t>中标人负责组织专业技术人员进行货物安装、调试并免费提供免费培训和技术服务，保证使用单位使用人员能够熟练操作设备。采购人提供必须的基本条件和专人配合，保证各项安装工作顺利进行。</w:t>
            </w:r>
          </w:p>
          <w:p w14:paraId="29B28DC9">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6.4</w:t>
            </w:r>
            <w:r>
              <w:rPr>
                <w:rFonts w:hint="eastAsia" w:ascii="仿宋_GB2312" w:hAnsi="仿宋_GB2312" w:eastAsia="仿宋_GB2312" w:cs="仿宋_GB2312"/>
                <w:sz w:val="26"/>
                <w:szCs w:val="26"/>
              </w:rPr>
              <w:t>中标人所投产品为正规合格产品，所有产</w:t>
            </w:r>
            <w:r>
              <w:rPr>
                <w:rFonts w:hint="eastAsia" w:ascii="仿宋_GB2312" w:hAnsi="仿宋_GB2312" w:eastAsia="仿宋_GB2312" w:cs="仿宋_GB2312"/>
                <w:color w:val="auto"/>
                <w:sz w:val="26"/>
                <w:szCs w:val="26"/>
              </w:rPr>
              <w:t>品均为全新原厂原包装，设备的制造标准及技术规范等有关资料必须符合国家相关标准、规范要求。</w:t>
            </w:r>
            <w:r>
              <w:rPr>
                <w:rFonts w:hint="eastAsia" w:ascii="仿宋_GB2312" w:hAnsi="仿宋_GB2312" w:eastAsia="仿宋_GB2312" w:cs="仿宋_GB2312"/>
                <w:sz w:val="26"/>
                <w:szCs w:val="26"/>
              </w:rPr>
              <w:t>中标人应把原厂、原包装的配件送到协和学院确认后，才可进行安装、调试。</w:t>
            </w:r>
          </w:p>
          <w:p w14:paraId="339247AD">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6.5</w:t>
            </w:r>
            <w:r>
              <w:rPr>
                <w:rFonts w:hint="eastAsia" w:ascii="仿宋_GB2312" w:hAnsi="仿宋_GB2312" w:eastAsia="仿宋_GB2312" w:cs="仿宋_GB2312"/>
                <w:sz w:val="26"/>
                <w:szCs w:val="26"/>
              </w:rPr>
              <w:t>安装调试到位后的设备由中标人及用户共同进行质量验收签字。</w:t>
            </w:r>
          </w:p>
          <w:p w14:paraId="02F5C607">
            <w:pPr>
              <w:pStyle w:val="17"/>
              <w:keepNext w:val="0"/>
              <w:keepLines w:val="0"/>
              <w:pageBreakBefore w:val="0"/>
              <w:kinsoku/>
              <w:wordWrap/>
              <w:overflowPunct/>
              <w:topLinePunct w:val="0"/>
              <w:autoSpaceDE/>
              <w:autoSpaceDN/>
              <w:bidi w:val="0"/>
              <w:adjustRightInd/>
              <w:spacing w:line="460" w:lineRule="exact"/>
              <w:ind w:firstLine="480"/>
              <w:rPr>
                <w:rFonts w:hint="default" w:ascii="仿宋_GB2312" w:hAnsi="仿宋_GB2312" w:eastAsia="仿宋_GB2312" w:cs="仿宋_GB2312"/>
                <w:sz w:val="26"/>
                <w:szCs w:val="26"/>
                <w:lang w:val="en-US" w:eastAsia="zh-CN"/>
              </w:rPr>
            </w:pPr>
            <w:r>
              <w:rPr>
                <w:rFonts w:hint="eastAsia" w:ascii="仿宋_GB2312" w:hAnsi="仿宋_GB2312" w:eastAsia="仿宋_GB2312" w:cs="仿宋_GB2312"/>
                <w:sz w:val="26"/>
                <w:szCs w:val="26"/>
                <w:lang w:val="en-US" w:eastAsia="zh-CN"/>
              </w:rPr>
              <w:t>6.6</w:t>
            </w:r>
            <w:r>
              <w:rPr>
                <w:rFonts w:hint="eastAsia" w:ascii="仿宋_GB2312" w:hAnsi="仿宋_GB2312" w:eastAsia="仿宋_GB2312" w:cs="仿宋_GB2312"/>
                <w:sz w:val="26"/>
                <w:szCs w:val="26"/>
              </w:rPr>
              <w:t>设备验收前，中标人须提供完整的技术资料（</w:t>
            </w:r>
            <w:r>
              <w:rPr>
                <w:rFonts w:hint="eastAsia" w:ascii="仿宋_GB2312" w:hAnsi="仿宋_GB2312" w:eastAsia="仿宋_GB2312" w:cs="仿宋_GB2312"/>
                <w:sz w:val="26"/>
                <w:szCs w:val="26"/>
                <w:lang w:val="en-US" w:eastAsia="zh-CN"/>
              </w:rPr>
              <w:t>如</w:t>
            </w:r>
            <w:r>
              <w:rPr>
                <w:rFonts w:hint="eastAsia" w:ascii="仿宋_GB2312" w:hAnsi="仿宋_GB2312" w:eastAsia="仿宋_GB2312" w:cs="仿宋_GB2312"/>
                <w:sz w:val="26"/>
                <w:szCs w:val="26"/>
              </w:rPr>
              <w:t>产品说明书、用户手册、出厂明细表或装箱单、制造厂质量合格证书</w:t>
            </w:r>
            <w:r>
              <w:rPr>
                <w:rFonts w:hint="eastAsia" w:ascii="仿宋_GB2312" w:hAnsi="仿宋_GB2312" w:eastAsia="仿宋_GB2312" w:cs="仿宋_GB2312"/>
                <w:sz w:val="26"/>
                <w:szCs w:val="26"/>
                <w:lang w:val="en-US" w:eastAsia="zh-CN"/>
              </w:rPr>
              <w:t>等</w:t>
            </w:r>
            <w:r>
              <w:rPr>
                <w:rFonts w:hint="eastAsia" w:ascii="仿宋_GB2312" w:hAnsi="仿宋_GB2312" w:eastAsia="仿宋_GB2312" w:cs="仿宋_GB2312"/>
                <w:sz w:val="26"/>
                <w:szCs w:val="26"/>
              </w:rPr>
              <w:t>相关文件资料）。</w:t>
            </w:r>
            <w:r>
              <w:rPr>
                <w:rFonts w:hint="eastAsia" w:ascii="仿宋_GB2312" w:hAnsi="仿宋_GB2312" w:eastAsia="仿宋_GB2312" w:cs="仿宋_GB2312"/>
                <w:color w:val="FF0000"/>
                <w:sz w:val="26"/>
                <w:szCs w:val="26"/>
                <w:lang w:val="en-US" w:eastAsia="zh-CN"/>
              </w:rPr>
              <w:t>注：括号内为常见举例，采购单位应根据实际情况调整括号内容。</w:t>
            </w:r>
          </w:p>
          <w:p w14:paraId="70D14ABE">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6.7</w:t>
            </w:r>
            <w:r>
              <w:rPr>
                <w:rFonts w:hint="eastAsia" w:ascii="仿宋_GB2312" w:hAnsi="仿宋_GB2312" w:eastAsia="仿宋_GB2312" w:cs="仿宋_GB2312"/>
                <w:sz w:val="26"/>
                <w:szCs w:val="26"/>
              </w:rPr>
              <w:t>中标人在采购人现场安装至最终验收所发生的一切费用均包含在报价中。</w:t>
            </w:r>
          </w:p>
          <w:p w14:paraId="2E1E56BF">
            <w:pPr>
              <w:pStyle w:val="17"/>
              <w:pageBreakBefore w:val="0"/>
              <w:kinsoku/>
              <w:wordWrap/>
              <w:overflowPunct/>
              <w:topLinePunct w:val="0"/>
              <w:bidi w:val="0"/>
              <w:spacing w:line="460" w:lineRule="exact"/>
              <w:rPr>
                <w:rFonts w:hint="eastAsia" w:ascii="仿宋_GB2312" w:hAnsi="仿宋_GB2312" w:eastAsia="仿宋_GB2312" w:cs="仿宋_GB2312"/>
                <w:color w:val="000000"/>
                <w:sz w:val="26"/>
                <w:szCs w:val="26"/>
              </w:rPr>
            </w:pPr>
            <w:r>
              <w:rPr>
                <w:rFonts w:hint="eastAsia" w:ascii="仿宋_GB2312" w:hAnsi="仿宋_GB2312" w:eastAsia="仿宋_GB2312" w:cs="仿宋_GB2312"/>
                <w:sz w:val="26"/>
                <w:szCs w:val="26"/>
                <w:lang w:val="en-US" w:eastAsia="zh-CN"/>
              </w:rPr>
              <w:t>6.8</w:t>
            </w:r>
            <w:r>
              <w:rPr>
                <w:rFonts w:hint="eastAsia" w:ascii="仿宋_GB2312" w:hAnsi="仿宋_GB2312" w:eastAsia="仿宋_GB2312" w:cs="仿宋_GB2312"/>
                <w:color w:val="000000"/>
                <w:sz w:val="26"/>
                <w:szCs w:val="26"/>
                <w:lang w:val="en-US"/>
              </w:rPr>
              <w:t>中标人必须加强制作、运输及安装施工过程中的安全防护，在此过程中，如因中标人原因导致的双方及第三方的任何人身、安全事故及财产损失均由中标人负全责。</w:t>
            </w:r>
          </w:p>
          <w:p w14:paraId="0F3661C5">
            <w:pPr>
              <w:keepNext w:val="0"/>
              <w:keepLines w:val="0"/>
              <w:pageBreakBefore w:val="0"/>
              <w:kinsoku/>
              <w:wordWrap/>
              <w:overflowPunct/>
              <w:topLinePunct w:val="0"/>
              <w:autoSpaceDE/>
              <w:autoSpaceDN/>
              <w:bidi w:val="0"/>
              <w:adjustRightInd/>
              <w:spacing w:line="460" w:lineRule="exact"/>
              <w:ind w:firstLine="522" w:firstLineChars="200"/>
              <w:jc w:val="left"/>
              <w:rPr>
                <w:rFonts w:hint="default" w:ascii="仿宋_GB2312" w:hAnsi="仿宋_GB2312" w:eastAsia="仿宋_GB2312" w:cs="仿宋_GB2312"/>
                <w:b/>
                <w:bCs w:val="0"/>
                <w:sz w:val="26"/>
                <w:szCs w:val="26"/>
                <w:lang w:val="en-US" w:eastAsia="zh-CN"/>
              </w:rPr>
            </w:pPr>
            <w:r>
              <w:rPr>
                <w:rFonts w:hint="eastAsia" w:ascii="仿宋_GB2312" w:hAnsi="仿宋_GB2312" w:eastAsia="仿宋_GB2312" w:cs="仿宋_GB2312"/>
                <w:b/>
                <w:bCs w:val="0"/>
                <w:sz w:val="26"/>
                <w:szCs w:val="26"/>
                <w:lang w:val="en-US" w:eastAsia="zh-CN"/>
              </w:rPr>
              <w:t>7.</w:t>
            </w:r>
            <w:r>
              <w:rPr>
                <w:rFonts w:hint="eastAsia" w:ascii="仿宋_GB2312" w:hAnsi="仿宋_GB2312" w:eastAsia="仿宋_GB2312" w:cs="仿宋_GB2312"/>
                <w:b/>
                <w:bCs w:val="0"/>
                <w:sz w:val="26"/>
                <w:szCs w:val="26"/>
              </w:rPr>
              <w:t>质保</w:t>
            </w:r>
            <w:r>
              <w:rPr>
                <w:rFonts w:hint="eastAsia" w:ascii="仿宋_GB2312" w:hAnsi="仿宋_GB2312" w:eastAsia="仿宋_GB2312" w:cs="仿宋_GB2312"/>
                <w:b/>
                <w:bCs w:val="0"/>
                <w:sz w:val="26"/>
                <w:szCs w:val="26"/>
                <w:lang w:val="en-US" w:eastAsia="zh-CN"/>
              </w:rPr>
              <w:t>期及售后服务要求</w:t>
            </w:r>
          </w:p>
          <w:p w14:paraId="2405C72B">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val="en-US" w:eastAsia="zh-CN"/>
              </w:rPr>
              <w:t>（根据项目实际需求填写，项目服务中含有货物的，须明确分别列出服务和货物的质保和售后服务要求</w:t>
            </w:r>
            <w:r>
              <w:rPr>
                <w:rFonts w:hint="eastAsia" w:ascii="仿宋_GB2312" w:hAnsi="仿宋_GB2312" w:eastAsia="仿宋_GB2312" w:cs="仿宋_GB2312"/>
                <w:bCs/>
                <w:color w:val="FF0000"/>
                <w:sz w:val="26"/>
                <w:szCs w:val="26"/>
              </w:rPr>
              <w:t>）</w:t>
            </w:r>
          </w:p>
          <w:p w14:paraId="3300B4F3">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7.1中标人</w:t>
            </w:r>
            <w:r>
              <w:rPr>
                <w:rFonts w:hint="eastAsia" w:ascii="仿宋_GB2312" w:hAnsi="仿宋_GB2312" w:eastAsia="仿宋_GB2312" w:cs="仿宋_GB2312"/>
                <w:b w:val="0"/>
                <w:bCs w:val="0"/>
                <w:color w:val="auto"/>
                <w:sz w:val="26"/>
                <w:szCs w:val="26"/>
                <w:highlight w:val="none"/>
                <w:lang w:val="en-US" w:eastAsia="zh-CN"/>
              </w:rPr>
              <w:t>对服务中所含所有货物提供X年免费保修服务，免费上门维保。该维保期内的所有售后服务包括货物日常损坏维护、相关培训服务等所产生的费用均由中标人承担。非因操作不当造成要更换的零配件及设备由</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负责包修、包换。</w:t>
            </w:r>
          </w:p>
          <w:p w14:paraId="5828F7FE">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7.2中标人</w:t>
            </w:r>
            <w:r>
              <w:rPr>
                <w:rFonts w:hint="eastAsia" w:ascii="仿宋_GB2312" w:hAnsi="仿宋_GB2312" w:eastAsia="仿宋_GB2312" w:cs="仿宋_GB2312"/>
                <w:b w:val="0"/>
                <w:bCs w:val="0"/>
                <w:color w:val="auto"/>
                <w:sz w:val="26"/>
                <w:szCs w:val="26"/>
                <w:highlight w:val="none"/>
                <w:lang w:val="en-US" w:eastAsia="zh-CN"/>
              </w:rPr>
              <w:t>承诺所提供的产品均为原厂商原产地原包装产品。</w:t>
            </w:r>
          </w:p>
          <w:p w14:paraId="744FDE44">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7.3</w:t>
            </w:r>
            <w:r>
              <w:rPr>
                <w:rFonts w:hint="eastAsia" w:ascii="仿宋_GB2312" w:hAnsi="仿宋_GB2312" w:eastAsia="仿宋_GB2312" w:cs="仿宋_GB2312"/>
                <w:b w:val="0"/>
                <w:bCs w:val="0"/>
                <w:color w:val="auto"/>
                <w:sz w:val="26"/>
                <w:szCs w:val="26"/>
                <w:highlight w:val="none"/>
                <w:lang w:val="en-US" w:eastAsia="zh-CN"/>
              </w:rPr>
              <w:t>服务的响应时间：服务期内，提供每周</w:t>
            </w:r>
            <w:r>
              <w:rPr>
                <w:rFonts w:hint="eastAsia" w:ascii="仿宋_GB2312" w:hAnsi="仿宋_GB2312" w:eastAsia="仿宋_GB2312" w:cs="仿宋_GB2312"/>
                <w:b w:val="0"/>
                <w:bCs w:val="0"/>
                <w:color w:val="auto"/>
                <w:sz w:val="26"/>
                <w:szCs w:val="26"/>
                <w:highlight w:val="none"/>
                <w:u w:val="none"/>
                <w:lang w:val="en-US" w:eastAsia="zh-CN"/>
              </w:rPr>
              <w:t>七</w:t>
            </w:r>
            <w:r>
              <w:rPr>
                <w:rFonts w:hint="eastAsia" w:ascii="仿宋_GB2312" w:hAnsi="仿宋_GB2312" w:eastAsia="仿宋_GB2312" w:cs="仿宋_GB2312"/>
                <w:b w:val="0"/>
                <w:bCs w:val="0"/>
                <w:color w:val="auto"/>
                <w:sz w:val="26"/>
                <w:szCs w:val="26"/>
                <w:highlight w:val="none"/>
                <w:lang w:val="en-US" w:eastAsia="zh-CN"/>
              </w:rPr>
              <w:t>天，每天</w:t>
            </w:r>
            <w:r>
              <w:rPr>
                <w:rFonts w:hint="eastAsia" w:ascii="仿宋_GB2312" w:hAnsi="仿宋_GB2312" w:eastAsia="仿宋_GB2312" w:cs="仿宋_GB2312"/>
                <w:b w:val="0"/>
                <w:bCs w:val="0"/>
                <w:color w:val="auto"/>
                <w:sz w:val="26"/>
                <w:szCs w:val="26"/>
                <w:highlight w:val="none"/>
                <w:u w:val="none"/>
                <w:lang w:val="en-US" w:eastAsia="zh-CN"/>
              </w:rPr>
              <w:t>24</w:t>
            </w:r>
            <w:r>
              <w:rPr>
                <w:rFonts w:hint="eastAsia" w:ascii="仿宋_GB2312" w:hAnsi="仿宋_GB2312" w:eastAsia="仿宋_GB2312" w:cs="仿宋_GB2312"/>
                <w:b w:val="0"/>
                <w:bCs w:val="0"/>
                <w:color w:val="auto"/>
                <w:sz w:val="26"/>
                <w:szCs w:val="26"/>
                <w:highlight w:val="none"/>
                <w:lang w:val="en-US" w:eastAsia="zh-CN"/>
              </w:rPr>
              <w:t>小时全天候服务。承诺服务所含货物若发生问题，</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最终维修服务响应时间为</w:t>
            </w:r>
            <w:r>
              <w:rPr>
                <w:rFonts w:hint="eastAsia" w:ascii="仿宋_GB2312" w:hAnsi="仿宋_GB2312" w:eastAsia="仿宋_GB2312" w:cs="仿宋_GB2312"/>
                <w:b w:val="0"/>
                <w:bCs w:val="0"/>
                <w:color w:val="auto"/>
                <w:sz w:val="26"/>
                <w:szCs w:val="26"/>
                <w:highlight w:val="none"/>
                <w:u w:val="none"/>
                <w:lang w:val="en-US" w:eastAsia="zh-CN"/>
              </w:rPr>
              <w:t>4</w:t>
            </w:r>
            <w:r>
              <w:rPr>
                <w:rFonts w:hint="eastAsia" w:ascii="仿宋_GB2312" w:hAnsi="仿宋_GB2312" w:eastAsia="仿宋_GB2312" w:cs="仿宋_GB2312"/>
                <w:b w:val="0"/>
                <w:bCs w:val="0"/>
                <w:color w:val="auto"/>
                <w:sz w:val="26"/>
                <w:szCs w:val="26"/>
                <w:highlight w:val="none"/>
                <w:lang w:val="en-US" w:eastAsia="zh-CN"/>
              </w:rPr>
              <w:t>小时，在</w:t>
            </w:r>
            <w:r>
              <w:rPr>
                <w:rFonts w:hint="eastAsia" w:ascii="仿宋_GB2312" w:hAnsi="仿宋_GB2312" w:eastAsia="仿宋_GB2312" w:cs="仿宋_GB2312"/>
                <w:b w:val="0"/>
                <w:bCs w:val="0"/>
                <w:color w:val="auto"/>
                <w:sz w:val="26"/>
                <w:szCs w:val="26"/>
                <w:highlight w:val="none"/>
                <w:u w:val="none"/>
                <w:lang w:val="en-US" w:eastAsia="zh-CN"/>
              </w:rPr>
              <w:t>24</w:t>
            </w:r>
            <w:r>
              <w:rPr>
                <w:rFonts w:hint="eastAsia" w:ascii="仿宋_GB2312" w:hAnsi="仿宋_GB2312" w:eastAsia="仿宋_GB2312" w:cs="仿宋_GB2312"/>
                <w:b w:val="0"/>
                <w:bCs w:val="0"/>
                <w:color w:val="auto"/>
                <w:sz w:val="26"/>
                <w:szCs w:val="26"/>
                <w:highlight w:val="none"/>
                <w:lang w:val="en-US" w:eastAsia="zh-CN"/>
              </w:rPr>
              <w:t>小时内派专业技术人员到达现场进行免费维修服务。故障原因在</w:t>
            </w:r>
            <w:r>
              <w:rPr>
                <w:rFonts w:hint="eastAsia" w:ascii="仿宋_GB2312" w:hAnsi="仿宋_GB2312" w:eastAsia="仿宋_GB2312" w:cs="仿宋_GB2312"/>
                <w:b w:val="0"/>
                <w:bCs w:val="0"/>
                <w:color w:val="auto"/>
                <w:sz w:val="26"/>
                <w:szCs w:val="26"/>
                <w:highlight w:val="none"/>
                <w:u w:val="none"/>
                <w:lang w:val="en-US" w:eastAsia="zh-CN"/>
              </w:rPr>
              <w:t>24</w:t>
            </w:r>
            <w:r>
              <w:rPr>
                <w:rFonts w:hint="eastAsia" w:ascii="仿宋_GB2312" w:hAnsi="仿宋_GB2312" w:eastAsia="仿宋_GB2312" w:cs="仿宋_GB2312"/>
                <w:b w:val="0"/>
                <w:bCs w:val="0"/>
                <w:color w:val="auto"/>
                <w:sz w:val="26"/>
                <w:szCs w:val="26"/>
                <w:highlight w:val="none"/>
                <w:lang w:val="en-US" w:eastAsia="zh-CN"/>
              </w:rPr>
              <w:t>小时内无法排除的，则提供相应的备用货物以保证采购方的正常使用。故障维修响应时间内未到达现场进行维修者，采购方可自行委托相关企业进行维修，所需费用由</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承担。</w:t>
            </w:r>
          </w:p>
          <w:p w14:paraId="6AFA1911">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7.4</w:t>
            </w:r>
            <w:r>
              <w:rPr>
                <w:rFonts w:hint="eastAsia" w:ascii="仿宋_GB2312" w:hAnsi="仿宋_GB2312" w:eastAsia="仿宋_GB2312" w:cs="仿宋_GB2312"/>
                <w:b w:val="0"/>
                <w:bCs w:val="0"/>
                <w:color w:val="auto"/>
                <w:sz w:val="26"/>
                <w:szCs w:val="26"/>
                <w:highlight w:val="none"/>
                <w:lang w:val="en-US" w:eastAsia="zh-CN"/>
              </w:rPr>
              <w:t>免费保修期满前1个月内</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应负责对服务所含货物进行一次免费全面检查，如发现潜在问题，应负责排除，保证设备正常运行。</w:t>
            </w:r>
          </w:p>
          <w:p w14:paraId="00F53A99">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7.5</w:t>
            </w:r>
            <w:r>
              <w:rPr>
                <w:rFonts w:hint="eastAsia" w:ascii="仿宋_GB2312" w:hAnsi="仿宋_GB2312" w:eastAsia="仿宋_GB2312" w:cs="仿宋_GB2312"/>
                <w:b w:val="0"/>
                <w:bCs w:val="0"/>
                <w:color w:val="auto"/>
                <w:sz w:val="26"/>
                <w:szCs w:val="26"/>
                <w:highlight w:val="none"/>
                <w:lang w:val="en-US" w:eastAsia="zh-CN"/>
              </w:rPr>
              <w:t>质量保修期结束后，</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将仍对服务所含货物提供终身维修服务，48小时技术人员上门检查，</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保证将对货物在必要时进行定期维护和修理，更换配件时只能收取配件的成本费，且所有配件均为原装正品，以确保设备的良好运转。</w:t>
            </w:r>
          </w:p>
          <w:p w14:paraId="705CC36D">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7.6</w:t>
            </w:r>
            <w:r>
              <w:rPr>
                <w:rFonts w:hint="eastAsia" w:ascii="仿宋_GB2312" w:hAnsi="仿宋_GB2312" w:eastAsia="仿宋_GB2312" w:cs="仿宋_GB2312"/>
                <w:b w:val="0"/>
                <w:bCs w:val="0"/>
                <w:color w:val="auto"/>
                <w:sz w:val="26"/>
                <w:szCs w:val="26"/>
                <w:highlight w:val="none"/>
                <w:lang w:val="en-US" w:eastAsia="zh-CN"/>
              </w:rPr>
              <w:t>厂家保修服务优于</w:t>
            </w:r>
            <w:r>
              <w:rPr>
                <w:rFonts w:hint="eastAsia" w:ascii="仿宋_GB2312" w:hAnsi="仿宋_GB2312" w:eastAsia="仿宋_GB2312" w:cs="仿宋_GB2312"/>
                <w:b w:val="0"/>
                <w:bCs w:val="0"/>
                <w:sz w:val="26"/>
                <w:szCs w:val="26"/>
                <w:lang w:val="en-US" w:eastAsia="zh-CN"/>
              </w:rPr>
              <w:t>中标人</w:t>
            </w:r>
            <w:r>
              <w:rPr>
                <w:rFonts w:hint="eastAsia" w:ascii="仿宋_GB2312" w:hAnsi="仿宋_GB2312" w:eastAsia="仿宋_GB2312" w:cs="仿宋_GB2312"/>
                <w:b w:val="0"/>
                <w:bCs w:val="0"/>
                <w:color w:val="auto"/>
                <w:sz w:val="26"/>
                <w:szCs w:val="26"/>
                <w:highlight w:val="none"/>
                <w:lang w:val="en-US" w:eastAsia="zh-CN"/>
              </w:rPr>
              <w:t>售后服务承诺的按厂家保修标准执行。</w:t>
            </w:r>
          </w:p>
          <w:p w14:paraId="1881B5E6">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color w:val="auto"/>
                <w:sz w:val="26"/>
                <w:szCs w:val="26"/>
                <w:highlight w:val="none"/>
                <w:lang w:val="en-US" w:eastAsia="zh-CN"/>
              </w:rPr>
              <w:t>7.</w:t>
            </w:r>
            <w:r>
              <w:rPr>
                <w:rFonts w:hint="eastAsia" w:ascii="仿宋_GB2312" w:hAnsi="仿宋_GB2312" w:eastAsia="仿宋_GB2312" w:cs="仿宋_GB2312"/>
                <w:b w:val="0"/>
                <w:bCs w:val="0"/>
                <w:sz w:val="26"/>
                <w:szCs w:val="26"/>
                <w:lang w:val="en-US" w:eastAsia="zh-CN"/>
              </w:rPr>
              <w:t>7</w:t>
            </w:r>
            <w:r>
              <w:rPr>
                <w:rFonts w:hint="eastAsia" w:ascii="仿宋_GB2312" w:hAnsi="仿宋_GB2312" w:eastAsia="仿宋_GB2312" w:cs="仿宋_GB2312"/>
                <w:sz w:val="26"/>
                <w:szCs w:val="26"/>
                <w:lang w:val="en-US" w:eastAsia="zh-CN"/>
              </w:rPr>
              <w:t>中标人</w:t>
            </w:r>
            <w:r>
              <w:rPr>
                <w:rFonts w:hint="eastAsia" w:ascii="仿宋_GB2312" w:hAnsi="仿宋_GB2312" w:eastAsia="仿宋_GB2312" w:cs="仿宋_GB2312"/>
                <w:sz w:val="26"/>
                <w:szCs w:val="26"/>
              </w:rPr>
              <w:t>负责组织专业技术人员进行</w:t>
            </w:r>
            <w:r>
              <w:rPr>
                <w:rFonts w:hint="eastAsia" w:ascii="仿宋_GB2312" w:hAnsi="仿宋_GB2312" w:eastAsia="仿宋_GB2312" w:cs="仿宋_GB2312"/>
                <w:sz w:val="26"/>
                <w:szCs w:val="26"/>
                <w:lang w:val="en-US" w:eastAsia="zh-CN"/>
              </w:rPr>
              <w:t>服务所含</w:t>
            </w:r>
            <w:r>
              <w:rPr>
                <w:rFonts w:hint="eastAsia" w:ascii="仿宋_GB2312" w:hAnsi="仿宋_GB2312" w:eastAsia="仿宋_GB2312" w:cs="仿宋_GB2312"/>
                <w:sz w:val="26"/>
                <w:szCs w:val="26"/>
              </w:rPr>
              <w:t>货物</w:t>
            </w:r>
            <w:r>
              <w:rPr>
                <w:rFonts w:hint="eastAsia" w:ascii="仿宋_GB2312" w:hAnsi="仿宋_GB2312" w:eastAsia="仿宋_GB2312" w:cs="仿宋_GB2312"/>
                <w:sz w:val="26"/>
                <w:szCs w:val="26"/>
                <w:lang w:eastAsia="zh-CN"/>
              </w:rPr>
              <w:t>的</w:t>
            </w:r>
            <w:r>
              <w:rPr>
                <w:rFonts w:hint="eastAsia" w:ascii="仿宋_GB2312" w:hAnsi="仿宋_GB2312" w:eastAsia="仿宋_GB2312" w:cs="仿宋_GB2312"/>
                <w:sz w:val="26"/>
                <w:szCs w:val="26"/>
              </w:rPr>
              <w:t>安装、调试并免费提供培训和技术服务，保证</w:t>
            </w:r>
            <w:r>
              <w:rPr>
                <w:rFonts w:hint="eastAsia" w:ascii="仿宋_GB2312" w:hAnsi="仿宋_GB2312" w:eastAsia="仿宋_GB2312" w:cs="仿宋_GB2312"/>
                <w:sz w:val="26"/>
                <w:szCs w:val="26"/>
                <w:lang w:val="en-US" w:eastAsia="zh-CN"/>
              </w:rPr>
              <w:t>采购人</w:t>
            </w:r>
            <w:r>
              <w:rPr>
                <w:rFonts w:hint="eastAsia" w:ascii="仿宋_GB2312" w:hAnsi="仿宋_GB2312" w:eastAsia="仿宋_GB2312" w:cs="仿宋_GB2312"/>
                <w:sz w:val="26"/>
                <w:szCs w:val="26"/>
              </w:rPr>
              <w:t>使用人员能够熟练操作。</w:t>
            </w:r>
            <w:r>
              <w:rPr>
                <w:rFonts w:hint="eastAsia" w:ascii="仿宋_GB2312" w:hAnsi="仿宋_GB2312" w:eastAsia="仿宋_GB2312" w:cs="仿宋_GB2312"/>
                <w:sz w:val="26"/>
                <w:szCs w:val="26"/>
                <w:lang w:val="en-US" w:eastAsia="zh-CN"/>
              </w:rPr>
              <w:t>采购人</w:t>
            </w:r>
            <w:r>
              <w:rPr>
                <w:rFonts w:hint="eastAsia" w:ascii="仿宋_GB2312" w:hAnsi="仿宋_GB2312" w:eastAsia="仿宋_GB2312" w:cs="仿宋_GB2312"/>
                <w:sz w:val="26"/>
                <w:szCs w:val="26"/>
                <w:lang w:eastAsia="zh-CN"/>
              </w:rPr>
              <w:t>提供必需的</w:t>
            </w:r>
            <w:r>
              <w:rPr>
                <w:rFonts w:hint="eastAsia" w:ascii="仿宋_GB2312" w:hAnsi="仿宋_GB2312" w:eastAsia="仿宋_GB2312" w:cs="仿宋_GB2312"/>
                <w:sz w:val="26"/>
                <w:szCs w:val="26"/>
              </w:rPr>
              <w:t>基本条件和专人配合，保证各项安装工作顺利进行。</w:t>
            </w:r>
          </w:p>
          <w:p w14:paraId="1FF4E9E8">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highlight w:val="none"/>
                <w:lang w:val="en-US" w:eastAsia="zh-CN"/>
              </w:rPr>
            </w:pPr>
            <w:r>
              <w:rPr>
                <w:rFonts w:hint="eastAsia" w:ascii="仿宋_GB2312" w:hAnsi="仿宋_GB2312" w:eastAsia="仿宋_GB2312" w:cs="仿宋_GB2312"/>
                <w:b w:val="0"/>
                <w:bCs w:val="0"/>
                <w:sz w:val="26"/>
                <w:szCs w:val="26"/>
                <w:lang w:val="en-US" w:eastAsia="zh-CN"/>
              </w:rPr>
              <w:t>7.8中标人</w:t>
            </w:r>
            <w:r>
              <w:rPr>
                <w:rFonts w:hint="eastAsia" w:ascii="仿宋_GB2312" w:hAnsi="仿宋_GB2312" w:eastAsia="仿宋_GB2312" w:cs="仿宋_GB2312"/>
                <w:b w:val="0"/>
                <w:bCs w:val="0"/>
                <w:color w:val="auto"/>
                <w:sz w:val="26"/>
                <w:szCs w:val="26"/>
                <w:highlight w:val="none"/>
                <w:lang w:val="en-US" w:eastAsia="zh-CN"/>
              </w:rPr>
              <w:t>提供产品和服务的使用期限为X年，在此期限内必须保证所提供产品的有效性和合法性，且是最新的（软件）版本。同时承诺所提供XX产品已解决版权问题，愿承担与原作品版权有关的全部法律义务与责任。</w:t>
            </w:r>
          </w:p>
          <w:p w14:paraId="2F96602E">
            <w:pPr>
              <w:keepNext w:val="0"/>
              <w:keepLines w:val="0"/>
              <w:pageBreakBefore w:val="0"/>
              <w:numPr>
                <w:ilvl w:val="0"/>
                <w:numId w:val="0"/>
              </w:numPr>
              <w:tabs>
                <w:tab w:val="left" w:pos="709"/>
              </w:tabs>
              <w:kinsoku/>
              <w:wordWrap/>
              <w:overflowPunct/>
              <w:topLinePunct w:val="0"/>
              <w:autoSpaceDE/>
              <w:autoSpaceDN/>
              <w:bidi w:val="0"/>
              <w:adjustRightInd/>
              <w:spacing w:line="480" w:lineRule="exact"/>
              <w:ind w:firstLine="520" w:firstLineChars="200"/>
              <w:rPr>
                <w:rFonts w:hint="eastAsia" w:ascii="仿宋_GB2312" w:hAnsi="仿宋_GB2312" w:eastAsia="仿宋_GB2312" w:cs="仿宋_GB2312"/>
                <w:sz w:val="26"/>
                <w:szCs w:val="26"/>
              </w:rPr>
            </w:pPr>
            <w:r>
              <w:rPr>
                <w:rFonts w:hint="eastAsia" w:ascii="仿宋_GB2312" w:hAnsi="仿宋_GB2312" w:eastAsia="仿宋_GB2312" w:cs="仿宋_GB2312"/>
                <w:b w:val="0"/>
                <w:bCs w:val="0"/>
                <w:sz w:val="26"/>
                <w:szCs w:val="26"/>
                <w:lang w:val="en-US" w:eastAsia="zh-CN"/>
              </w:rPr>
              <w:t>7.9</w:t>
            </w:r>
            <w:r>
              <w:rPr>
                <w:rFonts w:hint="eastAsia" w:ascii="仿宋_GB2312" w:hAnsi="仿宋_GB2312" w:eastAsia="仿宋_GB2312" w:cs="仿宋_GB2312"/>
                <w:b w:val="0"/>
                <w:bCs w:val="0"/>
                <w:color w:val="auto"/>
                <w:sz w:val="26"/>
                <w:szCs w:val="26"/>
                <w:highlight w:val="none"/>
                <w:lang w:val="en-US" w:eastAsia="zh-CN"/>
              </w:rPr>
              <w:t>.各报价人可视自身能力在报价中提供更优、更合理的服务承诺。</w:t>
            </w:r>
          </w:p>
          <w:p w14:paraId="15EFEB8A">
            <w:pPr>
              <w:keepNext w:val="0"/>
              <w:keepLines w:val="0"/>
              <w:pageBreakBefore w:val="0"/>
              <w:kinsoku/>
              <w:wordWrap/>
              <w:overflowPunct/>
              <w:topLinePunct w:val="0"/>
              <w:autoSpaceDE/>
              <w:autoSpaceDN/>
              <w:bidi w:val="0"/>
              <w:adjustRightInd/>
              <w:spacing w:line="480" w:lineRule="exact"/>
              <w:ind w:firstLine="522" w:firstLineChars="200"/>
              <w:jc w:val="left"/>
              <w:rPr>
                <w:rFonts w:hint="eastAsia" w:ascii="仿宋_GB2312" w:hAnsi="仿宋_GB2312" w:eastAsia="仿宋_GB2312" w:cs="仿宋_GB2312"/>
                <w:sz w:val="26"/>
                <w:szCs w:val="26"/>
              </w:rPr>
            </w:pPr>
            <w:r>
              <w:rPr>
                <w:rFonts w:hint="eastAsia" w:ascii="仿宋_GB2312" w:hAnsi="仿宋_GB2312" w:eastAsia="仿宋_GB2312" w:cs="仿宋_GB2312"/>
                <w:b/>
                <w:bCs/>
                <w:sz w:val="26"/>
                <w:szCs w:val="26"/>
                <w:lang w:val="en-US" w:eastAsia="zh-CN"/>
              </w:rPr>
              <w:t>8.</w:t>
            </w:r>
            <w:r>
              <w:rPr>
                <w:rFonts w:hint="eastAsia" w:ascii="仿宋_GB2312" w:hAnsi="仿宋_GB2312" w:eastAsia="仿宋_GB2312" w:cs="仿宋_GB2312"/>
                <w:b/>
                <w:bCs/>
                <w:sz w:val="26"/>
                <w:szCs w:val="26"/>
              </w:rPr>
              <w:t>违约责任</w:t>
            </w:r>
            <w:r>
              <w:rPr>
                <w:rFonts w:hint="eastAsia" w:ascii="仿宋_GB2312" w:hAnsi="仿宋_GB2312" w:eastAsia="仿宋_GB2312" w:cs="仿宋_GB2312"/>
                <w:sz w:val="26"/>
                <w:szCs w:val="26"/>
              </w:rPr>
              <w:t>（</w:t>
            </w:r>
            <w:r>
              <w:rPr>
                <w:rFonts w:hint="eastAsia" w:ascii="仿宋_GB2312" w:hAnsi="仿宋_GB2312" w:eastAsia="仿宋_GB2312" w:cs="仿宋_GB2312"/>
                <w:color w:val="FF0000"/>
                <w:sz w:val="26"/>
                <w:szCs w:val="26"/>
              </w:rPr>
              <w:t>以下</w:t>
            </w:r>
            <w:r>
              <w:rPr>
                <w:rFonts w:hint="eastAsia" w:ascii="仿宋_GB2312" w:hAnsi="仿宋_GB2312" w:eastAsia="仿宋_GB2312" w:cs="仿宋_GB2312"/>
                <w:color w:val="FF0000"/>
                <w:sz w:val="26"/>
                <w:szCs w:val="26"/>
                <w:lang w:val="en-US" w:eastAsia="zh-CN"/>
              </w:rPr>
              <w:t>为举例</w:t>
            </w:r>
            <w:r>
              <w:rPr>
                <w:rFonts w:hint="eastAsia" w:ascii="仿宋_GB2312" w:hAnsi="仿宋_GB2312" w:eastAsia="仿宋_GB2312" w:cs="仿宋_GB2312"/>
                <w:color w:val="FF0000"/>
                <w:sz w:val="26"/>
                <w:szCs w:val="26"/>
              </w:rPr>
              <w:t>参考，可根据项目实际</w:t>
            </w:r>
            <w:r>
              <w:rPr>
                <w:rFonts w:hint="eastAsia" w:ascii="仿宋_GB2312" w:hAnsi="仿宋_GB2312" w:eastAsia="仿宋_GB2312" w:cs="仿宋_GB2312"/>
                <w:color w:val="FF0000"/>
                <w:sz w:val="26"/>
                <w:szCs w:val="26"/>
                <w:lang w:val="en-US" w:eastAsia="zh-CN"/>
              </w:rPr>
              <w:t>自行修改</w:t>
            </w:r>
            <w:r>
              <w:rPr>
                <w:rFonts w:hint="eastAsia" w:ascii="仿宋_GB2312" w:hAnsi="仿宋_GB2312" w:eastAsia="仿宋_GB2312" w:cs="仿宋_GB2312"/>
                <w:sz w:val="26"/>
                <w:szCs w:val="26"/>
              </w:rPr>
              <w:t>）</w:t>
            </w:r>
          </w:p>
          <w:p w14:paraId="061891DC">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jc w:val="left"/>
              <w:textAlignment w:val="auto"/>
              <w:rPr>
                <w:rFonts w:hint="eastAsia" w:ascii="仿宋_GB2312" w:hAnsi="仿宋_GB2312" w:eastAsia="仿宋_GB2312" w:cs="仿宋_GB2312"/>
                <w:color w:val="auto"/>
                <w:sz w:val="26"/>
                <w:szCs w:val="26"/>
              </w:rPr>
            </w:pPr>
            <w:bookmarkStart w:id="0" w:name="OLE_LINK23"/>
            <w:r>
              <w:rPr>
                <w:rFonts w:hint="eastAsia" w:ascii="仿宋_GB2312" w:hAnsi="仿宋_GB2312" w:eastAsia="仿宋_GB2312" w:cs="仿宋_GB2312"/>
                <w:sz w:val="26"/>
                <w:szCs w:val="26"/>
                <w:lang w:val="en-US" w:eastAsia="zh-CN"/>
              </w:rPr>
              <w:t>8.1</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不按时缴交履约保证金</w:t>
            </w:r>
            <w:bookmarkEnd w:id="0"/>
            <w:r>
              <w:rPr>
                <w:rFonts w:hint="eastAsia" w:ascii="仿宋_GB2312" w:hAnsi="仿宋_GB2312" w:eastAsia="仿宋_GB2312" w:cs="仿宋_GB2312"/>
                <w:color w:val="auto"/>
                <w:sz w:val="26"/>
                <w:szCs w:val="26"/>
              </w:rPr>
              <w:t>的，视为放弃中标，</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有权没收其投标保证金，对</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造成的损失的，</w:t>
            </w:r>
            <w:bookmarkStart w:id="1" w:name="OLE_LINK24"/>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有权要求</w:t>
            </w:r>
            <w:bookmarkEnd w:id="1"/>
            <w:r>
              <w:rPr>
                <w:rFonts w:hint="eastAsia" w:ascii="仿宋_GB2312" w:hAnsi="仿宋_GB2312" w:eastAsia="仿宋_GB2312" w:cs="仿宋_GB2312"/>
                <w:sz w:val="26"/>
                <w:szCs w:val="26"/>
                <w:lang w:val="en-US" w:eastAsia="zh-CN"/>
              </w:rPr>
              <w:t>中标人</w:t>
            </w:r>
            <w:r>
              <w:rPr>
                <w:rFonts w:hint="eastAsia" w:ascii="仿宋_GB2312" w:hAnsi="仿宋_GB2312" w:eastAsia="仿宋_GB2312" w:cs="仿宋_GB2312"/>
                <w:color w:val="auto"/>
                <w:sz w:val="26"/>
                <w:szCs w:val="26"/>
              </w:rPr>
              <w:t>另行支付相应的赔偿。</w:t>
            </w:r>
          </w:p>
          <w:p w14:paraId="0E299DCC">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jc w:val="left"/>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.2</w:t>
            </w:r>
            <w:r>
              <w:rPr>
                <w:rFonts w:hint="eastAsia" w:ascii="仿宋_GB2312" w:hAnsi="仿宋_GB2312" w:eastAsia="仿宋_GB2312" w:cs="仿宋_GB2312"/>
                <w:color w:val="auto"/>
                <w:sz w:val="26"/>
                <w:szCs w:val="26"/>
              </w:rPr>
              <w:t>因</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原因造成合同无法按时签订，视为</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违约，</w:t>
            </w:r>
            <w:bookmarkStart w:id="2" w:name="OLE_LINK22"/>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有权没收其投标保证金，</w:t>
            </w:r>
            <w:bookmarkEnd w:id="2"/>
            <w:r>
              <w:rPr>
                <w:rFonts w:hint="eastAsia" w:ascii="仿宋_GB2312" w:hAnsi="仿宋_GB2312" w:eastAsia="仿宋_GB2312" w:cs="仿宋_GB2312"/>
                <w:color w:val="auto"/>
                <w:sz w:val="26"/>
                <w:szCs w:val="26"/>
              </w:rPr>
              <w:t>如保证金不能弥补</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违约对</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造成的损失的，</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有权要求</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另行支付相应的赔偿。</w:t>
            </w:r>
          </w:p>
          <w:p w14:paraId="68243229">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jc w:val="left"/>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.3</w:t>
            </w:r>
            <w:r>
              <w:rPr>
                <w:rFonts w:hint="eastAsia" w:ascii="仿宋_GB2312" w:hAnsi="仿宋_GB2312" w:eastAsia="仿宋_GB2312" w:cs="仿宋_GB2312"/>
                <w:color w:val="auto"/>
                <w:sz w:val="26"/>
                <w:szCs w:val="26"/>
              </w:rPr>
              <w:t>在签订合同之后，</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要求解除合同、不履行或不能履行本合同，视为</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违约，</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有权单方面解除合同，没收其履约保证金，对</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造成的损失的，</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有权要求</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另行支付中标总额30%的违约金。</w:t>
            </w:r>
          </w:p>
          <w:p w14:paraId="5332D7A1">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jc w:val="left"/>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.4</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所提供的服务不符合本合同要求的，</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有权拒收；同时，</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有权单方面解除合同，没收其履约保证金，对</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造成的损失的，</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有权要求</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另行支付中标总额30%的违约金。</w:t>
            </w:r>
          </w:p>
          <w:p w14:paraId="28755720">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color w:val="auto"/>
                <w:kern w:val="2"/>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.5</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不能按照合同的承诺时间或本合同约定的服务期限内完成服务的，</w:t>
            </w:r>
            <w:r>
              <w:rPr>
                <w:rFonts w:hint="eastAsia" w:ascii="仿宋_GB2312" w:hAnsi="仿宋_GB2312" w:eastAsia="仿宋_GB2312" w:cs="仿宋_GB2312"/>
                <w:b w:val="0"/>
                <w:color w:val="auto"/>
                <w:kern w:val="2"/>
                <w:sz w:val="26"/>
                <w:szCs w:val="26"/>
              </w:rPr>
              <w:t>应向</w:t>
            </w:r>
            <w:r>
              <w:rPr>
                <w:rFonts w:hint="eastAsia" w:ascii="仿宋_GB2312" w:hAnsi="仿宋_GB2312" w:eastAsia="仿宋_GB2312" w:cs="仿宋_GB2312"/>
                <w:b w:val="0"/>
                <w:kern w:val="2"/>
                <w:sz w:val="26"/>
                <w:szCs w:val="26"/>
                <w:lang w:val="en-US" w:eastAsia="zh-CN"/>
              </w:rPr>
              <w:t>采购人</w:t>
            </w:r>
            <w:r>
              <w:rPr>
                <w:rFonts w:hint="eastAsia" w:ascii="仿宋_GB2312" w:hAnsi="仿宋_GB2312" w:eastAsia="仿宋_GB2312" w:cs="仿宋_GB2312"/>
                <w:b w:val="0"/>
                <w:color w:val="auto"/>
                <w:kern w:val="2"/>
                <w:sz w:val="26"/>
                <w:szCs w:val="26"/>
              </w:rPr>
              <w:t>偿付延期违约金，违约金按每天人民币壹仟元计算。如延期时间超过3</w:t>
            </w:r>
            <w:r>
              <w:rPr>
                <w:rFonts w:hint="eastAsia" w:ascii="仿宋_GB2312" w:hAnsi="仿宋_GB2312" w:eastAsia="仿宋_GB2312" w:cs="仿宋_GB2312"/>
                <w:b w:val="0"/>
                <w:color w:val="auto"/>
                <w:kern w:val="2"/>
                <w:sz w:val="26"/>
                <w:szCs w:val="26"/>
                <w:lang w:val="en-US" w:eastAsia="zh-CN"/>
              </w:rPr>
              <w:t>0</w:t>
            </w:r>
            <w:r>
              <w:rPr>
                <w:rFonts w:hint="eastAsia" w:ascii="仿宋_GB2312" w:hAnsi="仿宋_GB2312" w:eastAsia="仿宋_GB2312" w:cs="仿宋_GB2312"/>
                <w:b w:val="0"/>
                <w:color w:val="auto"/>
                <w:kern w:val="2"/>
                <w:sz w:val="26"/>
                <w:szCs w:val="26"/>
              </w:rPr>
              <w:t>天，按不能履行本合同的约定承担违约责任。</w:t>
            </w:r>
          </w:p>
          <w:p w14:paraId="257A07BF">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sz w:val="26"/>
                <w:szCs w:val="26"/>
                <w:lang w:val="en-US" w:eastAsia="zh-CN"/>
              </w:rPr>
            </w:pPr>
            <w:r>
              <w:rPr>
                <w:rFonts w:hint="eastAsia" w:ascii="仿宋_GB2312" w:hAnsi="仿宋_GB2312" w:eastAsia="仿宋_GB2312" w:cs="仿宋_GB2312"/>
                <w:b w:val="0"/>
                <w:bCs w:val="0"/>
                <w:sz w:val="26"/>
                <w:szCs w:val="26"/>
                <w:lang w:val="en-US" w:eastAsia="zh-CN"/>
              </w:rPr>
              <w:t>8.6中标人必须严格遵守《中华人民共和国保守国家秘密法》及其他有关法律法规，保证采购人保密信息（包含但不限于账号、密码及网络传输等信息）仅限于直接参与技术合作的有关人员知悉，不得外传。对所有信息严格保密，做到专人管理，确保数据不泄漏，不作他用，维护好采购人的数据及信息安全。若因中标人原因造成的数据泄露，由中标人承担相应的经济和法律责任。</w:t>
            </w:r>
          </w:p>
          <w:p w14:paraId="7046B7D8">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.7</w:t>
            </w:r>
            <w:r>
              <w:rPr>
                <w:rFonts w:hint="eastAsia" w:ascii="仿宋_GB2312" w:hAnsi="仿宋_GB2312" w:eastAsia="仿宋_GB2312" w:cs="仿宋_GB2312"/>
                <w:color w:val="auto"/>
                <w:sz w:val="26"/>
                <w:szCs w:val="26"/>
              </w:rPr>
              <w:t>若发生死亡安全事故、重大安全事故或特大安全事故，除按国家有关安全管理规定及</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有关安全管理办法执行外，</w:t>
            </w:r>
            <w:bookmarkStart w:id="3" w:name="OLE_LINK27"/>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有权单方面终止合同，</w:t>
            </w:r>
            <w:bookmarkEnd w:id="3"/>
            <w:r>
              <w:rPr>
                <w:rFonts w:hint="eastAsia" w:ascii="仿宋_GB2312" w:hAnsi="仿宋_GB2312" w:eastAsia="仿宋_GB2312" w:cs="仿宋_GB2312"/>
                <w:color w:val="auto"/>
                <w:sz w:val="26"/>
                <w:szCs w:val="26"/>
              </w:rPr>
              <w:t>所带来的经济、法律、安全等一切责任（包含但不限于已经发生的实际损失、可得利益损失、委托律师所发生的律师费、法院诉讼费、保全费、保险费、差旅费等），由</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承担。</w:t>
            </w:r>
          </w:p>
          <w:p w14:paraId="50306401">
            <w:pPr>
              <w:keepNext w:val="0"/>
              <w:keepLines w:val="0"/>
              <w:pageBreakBefore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.8</w:t>
            </w:r>
            <w:r>
              <w:rPr>
                <w:rFonts w:hint="eastAsia" w:ascii="仿宋_GB2312" w:hAnsi="仿宋_GB2312" w:eastAsia="仿宋_GB2312" w:cs="仿宋_GB2312"/>
                <w:color w:val="auto"/>
                <w:sz w:val="26"/>
                <w:szCs w:val="26"/>
              </w:rPr>
              <w:t>因</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违约对</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造成损失的赔偿金及合同约定的违约金均可由</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从未支付的合同款或履约保证金中扣除。在履约保证金有效期限内，如遇履约保证金被扣除，</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应在一个星期内补足维持原保证金金额。若未支付的合同款、履约保证金不足以支付</w:t>
            </w:r>
            <w:r>
              <w:rPr>
                <w:rFonts w:hint="eastAsia" w:ascii="仿宋_GB2312" w:hAnsi="仿宋_GB2312" w:eastAsia="仿宋_GB2312" w:cs="仿宋_GB2312"/>
                <w:sz w:val="26"/>
                <w:szCs w:val="26"/>
                <w:lang w:eastAsia="zh-CN"/>
              </w:rPr>
              <w:t>采购人</w:t>
            </w:r>
            <w:r>
              <w:rPr>
                <w:rFonts w:hint="eastAsia" w:ascii="仿宋_GB2312" w:hAnsi="仿宋_GB2312" w:eastAsia="仿宋_GB2312" w:cs="仿宋_GB2312"/>
                <w:color w:val="auto"/>
                <w:sz w:val="26"/>
                <w:szCs w:val="26"/>
              </w:rPr>
              <w:t>的损失，不足部分由</w:t>
            </w:r>
            <w:r>
              <w:rPr>
                <w:rFonts w:hint="eastAsia" w:ascii="仿宋_GB2312" w:hAnsi="仿宋_GB2312" w:eastAsia="仿宋_GB2312" w:cs="仿宋_GB2312"/>
                <w:sz w:val="26"/>
                <w:szCs w:val="26"/>
                <w:lang w:eastAsia="zh-CN"/>
              </w:rPr>
              <w:t>中标人</w:t>
            </w:r>
            <w:r>
              <w:rPr>
                <w:rFonts w:hint="eastAsia" w:ascii="仿宋_GB2312" w:hAnsi="仿宋_GB2312" w:eastAsia="仿宋_GB2312" w:cs="仿宋_GB2312"/>
                <w:color w:val="auto"/>
                <w:sz w:val="26"/>
                <w:szCs w:val="26"/>
              </w:rPr>
              <w:t>另行支付。</w:t>
            </w:r>
          </w:p>
          <w:p w14:paraId="13A915D7">
            <w:pPr>
              <w:keepNext w:val="0"/>
              <w:keepLines w:val="0"/>
              <w:pageBreakBefore w:val="0"/>
              <w:numPr>
                <w:ilvl w:val="0"/>
                <w:numId w:val="0"/>
              </w:numPr>
              <w:tabs>
                <w:tab w:val="left" w:pos="709"/>
              </w:tabs>
              <w:kinsoku/>
              <w:wordWrap/>
              <w:overflowPunct/>
              <w:topLinePunct w:val="0"/>
              <w:autoSpaceDE/>
              <w:autoSpaceDN/>
              <w:bidi w:val="0"/>
              <w:adjustRightInd/>
              <w:spacing w:line="480" w:lineRule="exact"/>
              <w:ind w:firstLine="520" w:firstLineChars="200"/>
              <w:jc w:val="left"/>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eastAsia="zh-CN"/>
              </w:rPr>
              <w:t>8</w:t>
            </w:r>
            <w:r>
              <w:rPr>
                <w:rFonts w:hint="eastAsia" w:ascii="仿宋_GB2312" w:hAnsi="仿宋_GB2312" w:eastAsia="仿宋_GB2312" w:cs="仿宋_GB2312"/>
                <w:sz w:val="26"/>
                <w:szCs w:val="26"/>
                <w:lang w:val="en-US" w:eastAsia="zh-CN"/>
              </w:rPr>
              <w:t>.9</w:t>
            </w:r>
            <w:r>
              <w:rPr>
                <w:rFonts w:hint="eastAsia" w:ascii="仿宋_GB2312" w:hAnsi="仿宋_GB2312" w:eastAsia="仿宋_GB2312" w:cs="仿宋_GB2312"/>
                <w:color w:val="auto"/>
                <w:sz w:val="26"/>
                <w:szCs w:val="26"/>
              </w:rPr>
              <w:t>因不可抗力造成违约的，经双方认可后可以免责，但违约方必须及时提交相关书面报告材料。</w:t>
            </w:r>
          </w:p>
          <w:p w14:paraId="4BBCB45E">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sz w:val="26"/>
                <w:szCs w:val="26"/>
                <w:lang w:val="en-US" w:eastAsia="zh-CN"/>
              </w:rPr>
            </w:pPr>
            <w:r>
              <w:rPr>
                <w:rFonts w:hint="eastAsia" w:ascii="仿宋_GB2312" w:hAnsi="仿宋_GB2312" w:eastAsia="仿宋_GB2312" w:cs="仿宋_GB2312"/>
                <w:b/>
                <w:sz w:val="26"/>
                <w:szCs w:val="26"/>
                <w:lang w:val="en-US" w:eastAsia="zh-CN"/>
              </w:rPr>
              <w:t>9.知识产权</w:t>
            </w:r>
            <w:r>
              <w:rPr>
                <w:rFonts w:hint="eastAsia" w:ascii="仿宋_GB2312" w:hAnsi="仿宋_GB2312" w:eastAsia="仿宋_GB2312" w:cs="仿宋_GB2312"/>
                <w:b/>
                <w:color w:val="FF0000"/>
                <w:sz w:val="26"/>
                <w:szCs w:val="26"/>
                <w:lang w:val="en-US" w:eastAsia="zh-CN"/>
              </w:rPr>
              <w:t>（以下为举例参考，可根据项目实际自行修改）</w:t>
            </w:r>
          </w:p>
          <w:p w14:paraId="699FF738">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 w:val="0"/>
                <w:bCs/>
                <w:sz w:val="26"/>
                <w:szCs w:val="26"/>
                <w:lang w:val="en-US" w:eastAsia="zh-CN"/>
              </w:rPr>
            </w:pPr>
            <w:r>
              <w:rPr>
                <w:rFonts w:hint="eastAsia" w:ascii="仿宋_GB2312" w:hAnsi="仿宋_GB2312" w:eastAsia="仿宋_GB2312" w:cs="仿宋_GB2312"/>
                <w:b w:val="0"/>
                <w:bCs/>
                <w:sz w:val="26"/>
                <w:szCs w:val="26"/>
                <w:lang w:val="en-US" w:eastAsia="zh-CN"/>
              </w:rPr>
              <w:t>9.1中标人提供的采购标的应符合国家知识产权法律、法规的规定且非假冒伪劣产品；中标人还应保证采购人不受到第三方关于侵犯知识产权及专利权、商标权或工业设计权等知识产权方面的指控，任何第三方如果提出此方面指控均与采购人无关，中标人应与第三方交涉，并承担可能发生的一切法律责任、费用和后果；若采购人因此而遭致损失，则中标人应赔偿该损失。</w:t>
            </w:r>
          </w:p>
          <w:p w14:paraId="62DC9839">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 w:val="0"/>
                <w:bCs/>
                <w:sz w:val="26"/>
                <w:szCs w:val="26"/>
                <w:lang w:val="en-US" w:eastAsia="zh-CN"/>
              </w:rPr>
            </w:pPr>
            <w:r>
              <w:rPr>
                <w:rFonts w:hint="eastAsia" w:ascii="仿宋_GB2312" w:hAnsi="仿宋_GB2312" w:eastAsia="仿宋_GB2312" w:cs="仿宋_GB2312"/>
                <w:b w:val="0"/>
                <w:bCs/>
                <w:sz w:val="26"/>
                <w:szCs w:val="26"/>
                <w:lang w:val="en-US" w:eastAsia="zh-CN"/>
              </w:rPr>
              <w:t>9.2本项目与宣传有关的包括著作权在内的一切知识产权归福建师范大学协和学院所有。未经采购人书面同意，中标人不得以任何方式使用或者许可他人使用宣传内容。</w:t>
            </w:r>
          </w:p>
          <w:p w14:paraId="23C223E1">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rPr>
            </w:pPr>
            <w:r>
              <w:rPr>
                <w:rFonts w:hint="eastAsia" w:ascii="仿宋_GB2312" w:hAnsi="仿宋_GB2312" w:eastAsia="仿宋_GB2312" w:cs="仿宋_GB2312"/>
                <w:b/>
                <w:sz w:val="26"/>
                <w:szCs w:val="26"/>
                <w:lang w:val="en-US" w:eastAsia="zh-CN"/>
              </w:rPr>
              <w:t>10.</w:t>
            </w:r>
            <w:r>
              <w:rPr>
                <w:rFonts w:hint="eastAsia" w:ascii="仿宋_GB2312" w:hAnsi="仿宋_GB2312" w:eastAsia="仿宋_GB2312" w:cs="仿宋_GB2312"/>
                <w:b/>
                <w:sz w:val="26"/>
                <w:szCs w:val="26"/>
              </w:rPr>
              <w:t>其他要求</w:t>
            </w:r>
            <w:r>
              <w:rPr>
                <w:rFonts w:hint="eastAsia" w:ascii="仿宋_GB2312" w:hAnsi="仿宋_GB2312" w:eastAsia="仿宋_GB2312" w:cs="仿宋_GB2312"/>
                <w:bCs/>
                <w:color w:val="FF0000"/>
                <w:sz w:val="26"/>
                <w:szCs w:val="26"/>
              </w:rPr>
              <w:t>（若无其他要求，请删除此条目）</w:t>
            </w:r>
          </w:p>
          <w:p w14:paraId="529664CA">
            <w:pPr>
              <w:keepNext w:val="0"/>
              <w:keepLines w:val="0"/>
              <w:pageBreakBefore w:val="0"/>
              <w:kinsoku/>
              <w:wordWrap/>
              <w:overflowPunct/>
              <w:topLinePunct w:val="0"/>
              <w:autoSpaceDE/>
              <w:autoSpaceDN/>
              <w:bidi w:val="0"/>
              <w:adjustRightInd/>
              <w:spacing w:line="460" w:lineRule="exact"/>
              <w:ind w:firstLine="390" w:firstLineChars="150"/>
              <w:jc w:val="left"/>
              <w:rPr>
                <w:rFonts w:ascii="宋体" w:hAnsi="宋体" w:cs="宋体"/>
                <w:sz w:val="24"/>
              </w:rPr>
            </w:pPr>
            <w:r>
              <w:rPr>
                <w:rFonts w:hint="eastAsia" w:ascii="仿宋_GB2312" w:hAnsi="仿宋_GB2312" w:eastAsia="仿宋_GB2312" w:cs="仿宋_GB2312"/>
                <w:bCs/>
                <w:sz w:val="26"/>
                <w:szCs w:val="26"/>
              </w:rPr>
              <w:t>……</w:t>
            </w:r>
          </w:p>
          <w:p w14:paraId="5A2CA2A1">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bl>
    <w:p w14:paraId="5187C4AA">
      <w:pPr>
        <w:rPr>
          <w:rFonts w:ascii="宋体" w:hAnsi="宋体" w:cs="宋体"/>
          <w:sz w:val="24"/>
        </w:rPr>
      </w:pPr>
    </w:p>
    <w:sectPr>
      <w:headerReference r:id="rId3" w:type="default"/>
      <w:footerReference r:id="rId4" w:type="default"/>
      <w:pgSz w:w="11906" w:h="16838"/>
      <w:pgMar w:top="1304" w:right="1474" w:bottom="1304" w:left="1474" w:header="737" w:footer="73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7BEB5">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9935"/>
                          </w:sdtPr>
                          <w:sdtContent>
                            <w:p w14:paraId="1DAEBF44">
                              <w:pPr>
                                <w:pStyle w:val="5"/>
                                <w:jc w:val="center"/>
                              </w:pPr>
                              <w:r>
                                <w:fldChar w:fldCharType="begin"/>
                              </w:r>
                              <w:r>
                                <w:instrText xml:space="preserve">PAGE   \* MERGEFORMAT</w:instrText>
                              </w:r>
                              <w:r>
                                <w:fldChar w:fldCharType="separate"/>
                              </w:r>
                              <w:r>
                                <w:rPr>
                                  <w:lang w:val="zh-CN"/>
                                </w:rPr>
                                <w:t>7</w:t>
                              </w:r>
                              <w:r>
                                <w:fldChar w:fldCharType="end"/>
                              </w:r>
                            </w:p>
                          </w:sdtContent>
                        </w:sdt>
                        <w:p w14:paraId="61AEB7A4">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79935"/>
                    </w:sdtPr>
                    <w:sdtContent>
                      <w:p w14:paraId="1DAEBF44">
                        <w:pPr>
                          <w:pStyle w:val="5"/>
                          <w:jc w:val="center"/>
                        </w:pPr>
                        <w:r>
                          <w:fldChar w:fldCharType="begin"/>
                        </w:r>
                        <w:r>
                          <w:instrText xml:space="preserve">PAGE   \* MERGEFORMAT</w:instrText>
                        </w:r>
                        <w:r>
                          <w:fldChar w:fldCharType="separate"/>
                        </w:r>
                        <w:r>
                          <w:rPr>
                            <w:lang w:val="zh-CN"/>
                          </w:rPr>
                          <w:t>7</w:t>
                        </w:r>
                        <w:r>
                          <w:fldChar w:fldCharType="end"/>
                        </w:r>
                      </w:p>
                    </w:sdtContent>
                  </w:sdt>
                  <w:p w14:paraId="61AEB7A4">
                    <w:pPr>
                      <w:pStyle w:val="3"/>
                    </w:pPr>
                  </w:p>
                </w:txbxContent>
              </v:textbox>
            </v:shape>
          </w:pict>
        </mc:Fallback>
      </mc:AlternateContent>
    </w:r>
  </w:p>
  <w:p w14:paraId="0E52BC10">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4FA1E">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4MDliNjQ4ZTZhYjM4MDUxMjk5N2VkMzZiYTI1YTUifQ=="/>
  </w:docVars>
  <w:rsids>
    <w:rsidRoot w:val="00EF6FC8"/>
    <w:rsid w:val="00051C2F"/>
    <w:rsid w:val="0010601D"/>
    <w:rsid w:val="00182735"/>
    <w:rsid w:val="00191067"/>
    <w:rsid w:val="00192787"/>
    <w:rsid w:val="001A2C58"/>
    <w:rsid w:val="001C303A"/>
    <w:rsid w:val="002316B0"/>
    <w:rsid w:val="00243CF1"/>
    <w:rsid w:val="00270C61"/>
    <w:rsid w:val="002776B7"/>
    <w:rsid w:val="002D1252"/>
    <w:rsid w:val="002E38A4"/>
    <w:rsid w:val="002F5D73"/>
    <w:rsid w:val="003103CE"/>
    <w:rsid w:val="00334FF2"/>
    <w:rsid w:val="00384EAE"/>
    <w:rsid w:val="00397AF4"/>
    <w:rsid w:val="003B515D"/>
    <w:rsid w:val="003C4919"/>
    <w:rsid w:val="004068B1"/>
    <w:rsid w:val="004854A4"/>
    <w:rsid w:val="0051628A"/>
    <w:rsid w:val="005B69CD"/>
    <w:rsid w:val="005C3FC3"/>
    <w:rsid w:val="005F152B"/>
    <w:rsid w:val="00660F2B"/>
    <w:rsid w:val="006636CD"/>
    <w:rsid w:val="006770C2"/>
    <w:rsid w:val="006803C8"/>
    <w:rsid w:val="00686E8B"/>
    <w:rsid w:val="00712B6E"/>
    <w:rsid w:val="00726689"/>
    <w:rsid w:val="00771287"/>
    <w:rsid w:val="007853E3"/>
    <w:rsid w:val="007B3E82"/>
    <w:rsid w:val="007D2AC9"/>
    <w:rsid w:val="00883D3F"/>
    <w:rsid w:val="008D3ABD"/>
    <w:rsid w:val="009C38AE"/>
    <w:rsid w:val="009C773E"/>
    <w:rsid w:val="00A05787"/>
    <w:rsid w:val="00AE416E"/>
    <w:rsid w:val="00BF1924"/>
    <w:rsid w:val="00C936DC"/>
    <w:rsid w:val="00C9617B"/>
    <w:rsid w:val="00D40F71"/>
    <w:rsid w:val="00DB6300"/>
    <w:rsid w:val="00E40646"/>
    <w:rsid w:val="00E92B27"/>
    <w:rsid w:val="00EF277E"/>
    <w:rsid w:val="00EF6FC8"/>
    <w:rsid w:val="00F0436D"/>
    <w:rsid w:val="00F241F7"/>
    <w:rsid w:val="00FC4E6D"/>
    <w:rsid w:val="0B046023"/>
    <w:rsid w:val="0CDA430A"/>
    <w:rsid w:val="0EEA548C"/>
    <w:rsid w:val="0F5B7661"/>
    <w:rsid w:val="12146F8F"/>
    <w:rsid w:val="132F5EFA"/>
    <w:rsid w:val="139974F1"/>
    <w:rsid w:val="149953F8"/>
    <w:rsid w:val="155107B7"/>
    <w:rsid w:val="1CAE6F9B"/>
    <w:rsid w:val="1E7042DF"/>
    <w:rsid w:val="1E9D41B6"/>
    <w:rsid w:val="1FD85867"/>
    <w:rsid w:val="22DC7D2B"/>
    <w:rsid w:val="236E767C"/>
    <w:rsid w:val="2AF35980"/>
    <w:rsid w:val="3417167E"/>
    <w:rsid w:val="341E5754"/>
    <w:rsid w:val="35C267C1"/>
    <w:rsid w:val="35D45791"/>
    <w:rsid w:val="3C730C5D"/>
    <w:rsid w:val="3FE53D38"/>
    <w:rsid w:val="402406BD"/>
    <w:rsid w:val="413B20FE"/>
    <w:rsid w:val="44D42272"/>
    <w:rsid w:val="4582210E"/>
    <w:rsid w:val="45C71F35"/>
    <w:rsid w:val="461644B5"/>
    <w:rsid w:val="51275099"/>
    <w:rsid w:val="518D7FC2"/>
    <w:rsid w:val="51916834"/>
    <w:rsid w:val="554967A4"/>
    <w:rsid w:val="58B06B3A"/>
    <w:rsid w:val="593D647C"/>
    <w:rsid w:val="59A3678F"/>
    <w:rsid w:val="59AC40C1"/>
    <w:rsid w:val="5E4A13FB"/>
    <w:rsid w:val="5EF80F65"/>
    <w:rsid w:val="61A12540"/>
    <w:rsid w:val="646664BF"/>
    <w:rsid w:val="648C045C"/>
    <w:rsid w:val="69EC3DEB"/>
    <w:rsid w:val="6A4610AD"/>
    <w:rsid w:val="6BC6686E"/>
    <w:rsid w:val="6DE02C90"/>
    <w:rsid w:val="74B45CA7"/>
    <w:rsid w:val="75DC7676"/>
    <w:rsid w:val="7CB45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next w:val="1"/>
    <w:qFormat/>
    <w:uiPriority w:val="0"/>
    <w:pPr>
      <w:keepNext/>
      <w:keepLines/>
      <w:widowControl w:val="0"/>
      <w:spacing w:before="260" w:after="260" w:line="413" w:lineRule="auto"/>
      <w:jc w:val="center"/>
      <w:outlineLvl w:val="1"/>
    </w:pPr>
    <w:rPr>
      <w:rFonts w:ascii="Arial Black" w:hAnsi="Arial Black" w:eastAsia="Arial Narrow" w:cs="Times New Roman"/>
      <w:b/>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4">
    <w:name w:val="annotation text"/>
    <w:basedOn w:val="1"/>
    <w:qFormat/>
    <w:uiPriority w:val="0"/>
    <w:pPr>
      <w:jc w:val="left"/>
    </w:pPr>
  </w:style>
  <w:style w:type="paragraph" w:styleId="5">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qFormat/>
    <w:uiPriority w:val="0"/>
    <w:pPr>
      <w:widowControl w:val="0"/>
      <w:spacing w:line="324" w:lineRule="auto"/>
      <w:jc w:val="both"/>
    </w:pPr>
    <w:rPr>
      <w:rFonts w:ascii="Times New Roman" w:hAnsi="Times New Roman" w:eastAsia="宋体" w:cs="Times New Roman"/>
      <w:kern w:val="2"/>
      <w:sz w:val="24"/>
      <w:szCs w:val="24"/>
      <w:lang w:val="en-US" w:eastAsia="zh-CN" w:bidi="ar-SA"/>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b/>
    </w:rPr>
  </w:style>
  <w:style w:type="character" w:styleId="12">
    <w:name w:val="page number"/>
    <w:basedOn w:val="10"/>
    <w:qFormat/>
    <w:uiPriority w:val="0"/>
  </w:style>
  <w:style w:type="character" w:styleId="13">
    <w:name w:val="Hyperlink"/>
    <w:basedOn w:val="10"/>
    <w:semiHidden/>
    <w:unhideWhenUsed/>
    <w:qFormat/>
    <w:uiPriority w:val="99"/>
    <w:rPr>
      <w:color w:val="0000FF"/>
      <w:u w:val="single"/>
    </w:rPr>
  </w:style>
  <w:style w:type="character" w:customStyle="1" w:styleId="14">
    <w:name w:val="页眉 字符"/>
    <w:basedOn w:val="10"/>
    <w:link w:val="6"/>
    <w:qFormat/>
    <w:uiPriority w:val="99"/>
    <w:rPr>
      <w:sz w:val="18"/>
      <w:szCs w:val="18"/>
    </w:rPr>
  </w:style>
  <w:style w:type="character" w:customStyle="1" w:styleId="15">
    <w:name w:val="页脚 字符"/>
    <w:basedOn w:val="10"/>
    <w:link w:val="5"/>
    <w:qFormat/>
    <w:uiPriority w:val="99"/>
    <w:rPr>
      <w:sz w:val="18"/>
      <w:szCs w:val="18"/>
    </w:rPr>
  </w:style>
  <w:style w:type="paragraph" w:customStyle="1" w:styleId="16">
    <w:name w:val="_Style 2"/>
    <w:basedOn w:val="1"/>
    <w:qFormat/>
    <w:uiPriority w:val="0"/>
    <w:pPr>
      <w:ind w:firstLine="420" w:firstLineChars="200"/>
    </w:pPr>
    <w:rPr>
      <w:rFonts w:ascii="Calibri" w:hAnsi="Calibri"/>
      <w:szCs w:val="22"/>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4718</Words>
  <Characters>4867</Characters>
  <Lines>39</Lines>
  <Paragraphs>11</Paragraphs>
  <TotalTime>0</TotalTime>
  <ScaleCrop>false</ScaleCrop>
  <LinksUpToDate>false</LinksUpToDate>
  <CharactersWithSpaces>5016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2016-11-10T06:44:00Z</dcterms:created>
  <dc:creator>lenovo</dc:creator>
  <cp:lastModifiedBy>村夫</cp:lastModifiedBy>
  <dcterms:modified xsi:type="dcterms:W3CDTF">2025-05-09T06:09:11Z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4DF86244149F446D9B6B029F01DDB75C_13</vt:lpwstr>
  </property>
  <property fmtid="{D5CDD505-2E9C-101B-9397-08002B2CF9AE}" pid="4" name="KSOTemplateDocerSaveRecord">
    <vt:lpwstr>eyJoZGlkIjoiZTlkYTU1NGQ1OGZkZWZkNDhlZDM5ZjJmYzZlODI3OGYiLCJ1c2VySWQiOiIyNTEzNjE5MTkifQ==</vt:lpwstr>
  </property>
</Properties>
</file>