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Performance</w:t>
      </w:r>
      <w:r>
        <w:rPr>
          <w:rFonts w:ascii="Times New Roman" w:hAnsi="Times New Roman" w:cs="Times New Roman"/>
          <w:b/>
          <w:sz w:val="36"/>
          <w:szCs w:val="36"/>
        </w:rPr>
        <w:t xml:space="preserve"> Evaluation Criteria 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for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Concord University College Fujian Normal University</w:t>
      </w:r>
    </w:p>
    <w:p>
      <w:pPr>
        <w:pStyle w:val="2"/>
        <w:spacing w:before="0" w:beforeAutospacing="0" w:after="0" w:afterAutospacing="0"/>
        <w:jc w:val="both"/>
        <w:rPr>
          <w:rFonts w:ascii="Times New Roman" w:hAnsi="Times New Roman" w:eastAsia="仿宋_GB2312" w:cs="Times New Roman"/>
          <w:color w:val="333333"/>
        </w:rPr>
      </w:pPr>
    </w:p>
    <w:p>
      <w:pPr>
        <w:pStyle w:val="2"/>
        <w:spacing w:before="0" w:beforeAutospacing="0" w:after="0" w:afterAutospacing="0" w:line="360" w:lineRule="auto"/>
        <w:jc w:val="both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The student</w:t>
      </w:r>
      <w:r>
        <w:rPr>
          <w:rFonts w:hint="default" w:ascii="Times New Roman" w:hAnsi="Times New Roman" w:eastAsia="仿宋_GB2312" w:cs="Times New Roman"/>
          <w:color w:val="333333"/>
          <w:lang w:val="en-US" w:eastAsia="zh-CN"/>
        </w:rPr>
        <w:t>s’</w:t>
      </w:r>
      <w:r>
        <w:rPr>
          <w:rFonts w:hint="default" w:ascii="Times New Roman" w:hAnsi="Times New Roman" w:eastAsia="仿宋_GB2312" w:cs="Times New Roman"/>
          <w:color w:val="333333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lang w:val="en-US" w:eastAsia="zh-CN"/>
        </w:rPr>
        <w:t>course examination result</w:t>
      </w:r>
      <w:r>
        <w:rPr>
          <w:rFonts w:hint="default" w:ascii="Times New Roman" w:hAnsi="Times New Roman" w:eastAsia="仿宋_GB2312" w:cs="Times New Roman"/>
          <w:color w:val="333333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lang w:val="en-US" w:eastAsia="zh-CN"/>
        </w:rPr>
        <w:t>is</w:t>
      </w:r>
      <w:r>
        <w:rPr>
          <w:rFonts w:hint="default" w:ascii="Times New Roman" w:hAnsi="Times New Roman" w:eastAsia="仿宋_GB2312" w:cs="Times New Roman"/>
          <w:color w:val="333333"/>
        </w:rPr>
        <w:t xml:space="preserve"> assessed on the percentage calculation system, and the </w:t>
      </w:r>
      <w:r>
        <w:rPr>
          <w:rFonts w:hint="eastAsia" w:ascii="Times New Roman" w:hAnsi="Times New Roman" w:eastAsia="仿宋_GB2312" w:cs="Times New Roman"/>
          <w:color w:val="333333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color w:val="333333"/>
        </w:rPr>
        <w:t xml:space="preserve">rade </w:t>
      </w:r>
      <w:r>
        <w:rPr>
          <w:rFonts w:hint="eastAsia" w:ascii="Times New Roman" w:hAnsi="Times New Roman" w:eastAsia="仿宋_GB2312" w:cs="Times New Roman"/>
          <w:color w:val="333333"/>
          <w:lang w:val="en-US" w:eastAsia="zh-CN"/>
        </w:rPr>
        <w:t>p</w:t>
      </w:r>
      <w:r>
        <w:rPr>
          <w:rFonts w:hint="default" w:ascii="Times New Roman" w:hAnsi="Times New Roman" w:eastAsia="仿宋_GB2312" w:cs="Times New Roman"/>
          <w:color w:val="333333"/>
        </w:rPr>
        <w:t xml:space="preserve">oint </w:t>
      </w:r>
      <w:r>
        <w:rPr>
          <w:rFonts w:hint="default" w:ascii="Times New Roman" w:hAnsi="Times New Roman" w:eastAsia="仿宋_GB2312" w:cs="Times New Roman"/>
          <w:color w:val="333333"/>
          <w:lang w:val="en-US" w:eastAsia="zh-CN"/>
        </w:rPr>
        <w:t>is adopted to</w:t>
      </w:r>
      <w:r>
        <w:rPr>
          <w:rFonts w:hint="default" w:ascii="Times New Roman" w:hAnsi="Times New Roman" w:eastAsia="仿宋_GB2312" w:cs="Times New Roman"/>
          <w:color w:val="333333"/>
        </w:rPr>
        <w:t xml:space="preserve"> evaluate students’ learning quality comprehensively.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The relationship between Examination Result and Grade Point is as follows (the calculated result of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</w:rPr>
        <w:t>Grade Point should be round to one decimal place):</w:t>
      </w:r>
    </w:p>
    <w:p>
      <w:pPr>
        <w:pStyle w:val="2"/>
        <w:spacing w:before="0" w:beforeAutospacing="0" w:after="0" w:afterAutospacing="0" w:line="360" w:lineRule="auto"/>
        <w:ind w:firstLine="840" w:firstLineChars="350"/>
        <w:jc w:val="both"/>
        <w:rPr>
          <w:rFonts w:hint="default" w:ascii="Times New Roman" w:hAnsi="Times New Roman" w:eastAsia="微软雅黑" w:cs="Times New Roman"/>
          <w:color w:val="333333"/>
        </w:rPr>
      </w:pPr>
      <w:r>
        <w:rPr>
          <w:rFonts w:hint="default" w:ascii="Times New Roman" w:hAnsi="Times New Roman" w:eastAsia="微软雅黑" w:cs="Times New Roman"/>
          <w:color w:val="333333"/>
        </w:rPr>
        <w:t>Examination Result M            Grade Point C        </w:t>
      </w:r>
    </w:p>
    <w:p>
      <w:pPr>
        <w:pStyle w:val="2"/>
        <w:spacing w:before="0" w:beforeAutospacing="0" w:after="0" w:afterAutospacing="0" w:line="360" w:lineRule="auto"/>
        <w:ind w:firstLine="1680" w:firstLineChars="700"/>
        <w:jc w:val="both"/>
        <w:rPr>
          <w:rFonts w:hint="default" w:ascii="Times New Roman" w:hAnsi="Times New Roman" w:eastAsia="微软雅黑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0-59</w:t>
      </w:r>
      <w:r>
        <w:rPr>
          <w:rStyle w:val="5"/>
          <w:rFonts w:hint="default" w:ascii="Times New Roman" w:hAnsi="Times New Roman" w:eastAsia="微软雅黑" w:cs="Times New Roman"/>
          <w:color w:val="333333"/>
        </w:rPr>
        <w:t> </w:t>
      </w:r>
      <w:r>
        <w:rPr>
          <w:rFonts w:hint="default" w:ascii="Times New Roman" w:hAnsi="Times New Roman" w:eastAsia="微软雅黑" w:cs="Times New Roman"/>
          <w:color w:val="333333"/>
        </w:rPr>
        <w:t xml:space="preserve">                             </w:t>
      </w:r>
      <w:r>
        <w:rPr>
          <w:rFonts w:hint="default" w:ascii="Times New Roman" w:hAnsi="Times New Roman" w:eastAsia="仿宋_GB2312" w:cs="Times New Roman"/>
          <w:color w:val="333333"/>
        </w:rPr>
        <w:t>0</w:t>
      </w:r>
    </w:p>
    <w:p>
      <w:pPr>
        <w:pStyle w:val="2"/>
        <w:spacing w:before="0" w:beforeAutospacing="0" w:after="0" w:afterAutospacing="0" w:line="360" w:lineRule="auto"/>
        <w:ind w:firstLine="645"/>
        <w:jc w:val="both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 xml:space="preserve">        60-100</w:t>
      </w:r>
      <w:r>
        <w:rPr>
          <w:rStyle w:val="5"/>
          <w:rFonts w:hint="default" w:ascii="Times New Roman" w:hAnsi="Times New Roman" w:eastAsia="微软雅黑" w:cs="Times New Roman"/>
          <w:color w:val="333333"/>
        </w:rPr>
        <w:t> </w:t>
      </w:r>
      <w:r>
        <w:rPr>
          <w:rFonts w:hint="default" w:ascii="Times New Roman" w:hAnsi="Times New Roman" w:eastAsia="微软雅黑" w:cs="Times New Roman"/>
          <w:color w:val="333333"/>
        </w:rPr>
        <w:t xml:space="preserve">                      </w:t>
      </w:r>
      <w:r>
        <w:rPr>
          <w:rFonts w:hint="default" w:ascii="Times New Roman" w:hAnsi="Times New Roman" w:eastAsia="仿宋_GB2312" w:cs="Times New Roman"/>
          <w:color w:val="333333"/>
        </w:rPr>
        <w:t>C=(M-50)/10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default" w:ascii="Times New Roman" w:hAnsi="Times New Roman" w:eastAsia="仿宋_GB2312" w:cs="Times New Roman"/>
          <w:color w:val="3333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</w:rPr>
        <w:t>The corresponding examples are as follows</w:t>
      </w:r>
      <w:r>
        <w:rPr>
          <w:rFonts w:hint="default" w:ascii="Times New Roman" w:hAnsi="Times New Roman" w:eastAsia="仿宋_GB2312" w:cs="Times New Roman"/>
          <w:color w:val="333333"/>
          <w:lang w:val="en-US" w:eastAsia="zh-CN"/>
        </w:rPr>
        <w:t xml:space="preserve">. </w:t>
      </w:r>
    </w:p>
    <w:p>
      <w:pPr>
        <w:pStyle w:val="2"/>
        <w:spacing w:before="0" w:beforeAutospacing="0" w:after="0" w:afterAutospacing="0" w:line="360" w:lineRule="auto"/>
        <w:ind w:firstLine="960" w:firstLineChars="400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微软雅黑" w:cs="Times New Roman"/>
          <w:color w:val="333333"/>
        </w:rPr>
        <w:t>Examination Result M          Grade Point C</w:t>
      </w:r>
    </w:p>
    <w:p>
      <w:pPr>
        <w:pStyle w:val="2"/>
        <w:spacing w:before="0" w:beforeAutospacing="0" w:after="0" w:afterAutospacing="0" w:line="360" w:lineRule="auto"/>
        <w:ind w:firstLine="1560" w:firstLineChars="650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91…100                   4.1</w:t>
      </w:r>
      <w:r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  <w:t>…</w:t>
      </w:r>
      <w:r>
        <w:rPr>
          <w:rFonts w:hint="default" w:ascii="Times New Roman" w:hAnsi="Times New Roman" w:eastAsia="仿宋_GB2312" w:cs="Times New Roman"/>
          <w:color w:val="333333"/>
        </w:rPr>
        <w:t>5.0</w:t>
      </w:r>
    </w:p>
    <w:p>
      <w:pPr>
        <w:pStyle w:val="2"/>
        <w:spacing w:before="0" w:beforeAutospacing="0" w:after="0" w:afterAutospacing="0" w:line="360" w:lineRule="auto"/>
        <w:ind w:firstLine="1560" w:firstLineChars="650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81…90                    3.1</w:t>
      </w:r>
      <w:r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  <w:t>…4.0</w:t>
      </w:r>
    </w:p>
    <w:p>
      <w:pPr>
        <w:pStyle w:val="2"/>
        <w:spacing w:before="0" w:beforeAutospacing="0" w:after="0" w:afterAutospacing="0" w:line="360" w:lineRule="auto"/>
        <w:ind w:firstLine="1560" w:firstLineChars="650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71…80                    2.1</w:t>
      </w:r>
      <w:r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  <w:t>…3.0</w:t>
      </w:r>
    </w:p>
    <w:p>
      <w:pPr>
        <w:pStyle w:val="2"/>
        <w:spacing w:before="0" w:beforeAutospacing="0" w:after="0" w:afterAutospacing="0" w:line="360" w:lineRule="auto"/>
        <w:ind w:firstLine="1560" w:firstLineChars="6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333333"/>
        </w:rPr>
        <w:t>61</w:t>
      </w:r>
      <w:r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  <w:t>…</w:t>
      </w:r>
      <w:r>
        <w:rPr>
          <w:rFonts w:hint="default" w:ascii="Times New Roman" w:hAnsi="Times New Roman" w:eastAsia="仿宋_GB2312" w:cs="Times New Roman"/>
          <w:color w:val="333333"/>
        </w:rPr>
        <w:t>70                    1.1</w:t>
      </w:r>
      <w:r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  <w:t>…2.0</w:t>
      </w:r>
    </w:p>
    <w:p>
      <w:pPr>
        <w:pStyle w:val="2"/>
        <w:spacing w:before="0" w:beforeAutospacing="0" w:after="0" w:afterAutospacing="0" w:line="360" w:lineRule="auto"/>
        <w:ind w:firstLine="1800" w:firstLineChars="750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60                        1.0</w:t>
      </w:r>
    </w:p>
    <w:p>
      <w:pPr>
        <w:pStyle w:val="2"/>
        <w:spacing w:before="0" w:beforeAutospacing="0" w:after="0" w:afterAutospacing="0" w:line="360" w:lineRule="auto"/>
        <w:ind w:firstLine="1680" w:firstLineChars="700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0-59                        0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The Examination Result recorded in accordance with the five-level scoring system shall be converted into a percentage system according to the following standards:</w:t>
      </w:r>
    </w:p>
    <w:p>
      <w:pPr>
        <w:pStyle w:val="2"/>
        <w:spacing w:before="0" w:beforeAutospacing="0" w:after="0" w:afterAutospacing="0" w:line="360" w:lineRule="auto"/>
        <w:ind w:firstLine="645"/>
        <w:jc w:val="both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>Excellent=95  Good=85  Medium=75  Pass=65  Fail=0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333333"/>
        </w:rPr>
      </w:pPr>
      <w:r>
        <w:rPr>
          <w:rFonts w:hint="default" w:ascii="Times New Roman" w:hAnsi="Times New Roman" w:eastAsia="仿宋_GB2312" w:cs="Times New Roman"/>
          <w:color w:val="333333"/>
        </w:rPr>
        <w:t xml:space="preserve">Course Credit </w:t>
      </w:r>
      <w:r>
        <w:rPr>
          <w:rFonts w:hint="default" w:ascii="Times New Roman" w:hAnsi="Times New Roman" w:eastAsia="仿宋_GB2312" w:cs="Times New Roman"/>
          <w:color w:val="333333"/>
          <w:lang w:val="en-US" w:eastAsia="zh-CN"/>
        </w:rPr>
        <w:t xml:space="preserve">Score </w:t>
      </w:r>
      <w:r>
        <w:rPr>
          <w:rFonts w:hint="default" w:ascii="Times New Roman" w:hAnsi="Times New Roman" w:eastAsia="仿宋_GB2312" w:cs="Times New Roman"/>
          <w:color w:val="333333"/>
        </w:rPr>
        <w:t>= Grade Point*Credit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333333"/>
        </w:rPr>
        <w:t>GPA=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  <w:vertAlign w:val="baseline"/>
          <w:lang w:val="en-US" w:eastAsia="zh-CN"/>
        </w:rPr>
        <w:t xml:space="preserve">∑ Course </w:t>
      </w:r>
      <w:r>
        <w:rPr>
          <w:rFonts w:hint="default" w:ascii="Times New Roman" w:hAnsi="Times New Roman" w:cs="Times New Roman"/>
        </w:rPr>
        <w:t xml:space="preserve">Credit </w:t>
      </w:r>
      <w:r>
        <w:rPr>
          <w:rFonts w:hint="default" w:ascii="Times New Roman" w:hAnsi="Times New Roman" w:cs="Times New Roman"/>
          <w:lang w:val="en-US" w:eastAsia="zh-CN"/>
        </w:rPr>
        <w:t>Score</w:t>
      </w:r>
      <w:r>
        <w:rPr>
          <w:rFonts w:hint="default" w:ascii="Times New Roman" w:hAnsi="Times New Roman" w:cs="Times New Roman"/>
        </w:rPr>
        <w:t xml:space="preserve"> /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  <w:vertAlign w:val="baseline"/>
          <w:lang w:val="en-US" w:eastAsia="zh-CN"/>
        </w:rPr>
        <w:t>∑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Course </w:t>
      </w:r>
      <w:r>
        <w:rPr>
          <w:rFonts w:hint="default" w:ascii="Times New Roman" w:hAnsi="Times New Roman" w:cs="Times New Roman"/>
        </w:rPr>
        <w:t>Credit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</w:rPr>
      </w:pP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360" w:lineRule="auto"/>
        <w:jc w:val="righ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lang w:val="en-US" w:eastAsia="zh-CN"/>
        </w:rPr>
        <w:t xml:space="preserve">Department of Academic Affairs, 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360" w:lineRule="auto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Concord University College, Fujian Normal University</w:t>
      </w:r>
      <w:bookmarkEnd w:id="0"/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2FC50"/>
    <w:multiLevelType w:val="singleLevel"/>
    <w:tmpl w:val="6632FC5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GVlOGI5ZmJlOWU3YmZhYWE3OTJlNDNlMzNlOTkifQ=="/>
  </w:docVars>
  <w:rsids>
    <w:rsidRoot w:val="38361FE6"/>
    <w:rsid w:val="38361FE6"/>
    <w:rsid w:val="3C5064DD"/>
    <w:rsid w:val="3F473C8F"/>
    <w:rsid w:val="60DD1B71"/>
    <w:rsid w:val="70003322"/>
    <w:rsid w:val="71D13952"/>
    <w:rsid w:val="7533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861</Characters>
  <Lines>0</Lines>
  <Paragraphs>0</Paragraphs>
  <TotalTime>16</TotalTime>
  <ScaleCrop>false</ScaleCrop>
  <LinksUpToDate>false</LinksUpToDate>
  <CharactersWithSpaces>1199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2022-04-12T01:07:00Z</dcterms:created>
  <dc:creator>小五</dc:creator>
  <cp:lastModifiedBy>小五</cp:lastModifiedBy>
  <dcterms:modified xsi:type="dcterms:W3CDTF">2024-04-28T03:18:22Z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AAA9A253964B4D869D4EC4DE8DD32FDA</vt:lpwstr>
  </property>
</Properties>
</file>