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附件5</w:t>
      </w:r>
    </w:p>
    <w:tbl>
      <w:tblPr>
        <w:tblStyle w:val="5"/>
        <w:tblW w:w="9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686"/>
        <w:gridCol w:w="1686"/>
        <w:gridCol w:w="1400"/>
        <w:gridCol w:w="1875"/>
        <w:gridCol w:w="1375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889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小标宋简体" w:hAnsi="仿宋" w:eastAsia="方正小标宋简体" w:cs="方正小标宋简体"/>
                <w:b w:val="0"/>
                <w:i w:val="0"/>
                <w:caps w:val="0"/>
                <w:spacing w:val="0"/>
                <w:w w:val="1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b w:val="0"/>
                <w:i w:val="0"/>
                <w:caps w:val="0"/>
                <w:spacing w:val="0"/>
                <w:w w:val="100"/>
                <w:sz w:val="44"/>
                <w:szCs w:val="44"/>
              </w:rPr>
              <w:t>福建师范大学协和学院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小标宋简体" w:hAnsi="仿宋" w:eastAsia="方正小标宋简体" w:cs="方正小标宋简体"/>
                <w:b w:val="0"/>
                <w:i w:val="0"/>
                <w:caps w:val="0"/>
                <w:spacing w:val="0"/>
                <w:w w:val="1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b w:val="0"/>
                <w:i w:val="0"/>
                <w:caps w:val="0"/>
                <w:spacing w:val="0"/>
                <w:w w:val="100"/>
                <w:sz w:val="44"/>
                <w:szCs w:val="44"/>
                <w:lang w:val="en-US" w:eastAsia="zh-CN"/>
              </w:rPr>
              <w:t>2021</w:t>
            </w:r>
            <w:r>
              <w:rPr>
                <w:rFonts w:hint="eastAsia" w:ascii="方正小标宋简体" w:hAnsi="仿宋" w:eastAsia="方正小标宋简体" w:cs="方正小标宋简体"/>
                <w:b w:val="0"/>
                <w:i w:val="0"/>
                <w:caps w:val="0"/>
                <w:spacing w:val="0"/>
                <w:w w:val="100"/>
                <w:sz w:val="44"/>
                <w:szCs w:val="44"/>
              </w:rPr>
              <w:t>年度新闻宣传报道情况统计表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highlight w:val="none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（统计时间：20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年1月1日-20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年12月31日）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8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spacing w:line="500" w:lineRule="exact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报送单位（公章）：             填表人：        联系方式：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报道时间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报道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  <w:t>媒体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报道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  <w:t>标题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版面或栏目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  <w:t>网址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spacing w:line="500" w:lineRule="exact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</w:p>
    <w:p>
      <w:pPr>
        <w:spacing w:line="500" w:lineRule="exact"/>
        <w:jc w:val="right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院党委宣传部（制）</w:t>
      </w:r>
    </w:p>
    <w:p>
      <w:pPr>
        <w:widowControl/>
        <w:spacing w:line="500" w:lineRule="exact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注：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1.本表格仅统计原始刊载、播出、发布出处的新闻报道，转载的新闻报道勿列入表格。</w:t>
      </w:r>
    </w:p>
    <w:p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2.新闻报道若无网址，可另附纸质版证明材料，证明材料需清晰可见。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Dg2NTQzMTVjZTc5MWEwMDBlODVhOTRhMjA3YjYifQ=="/>
  </w:docVars>
  <w:rsids>
    <w:rsidRoot w:val="14FC188E"/>
    <w:rsid w:val="14FC188E"/>
    <w:rsid w:val="2B8D6350"/>
    <w:rsid w:val="583A56C3"/>
    <w:rsid w:val="5FF65E6D"/>
    <w:rsid w:val="64472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before="30" w:after="0"/>
      <w:ind w:left="115" w:firstLine="420" w:firstLineChars="100"/>
      <w:jc w:val="both"/>
    </w:pPr>
    <w:rPr>
      <w:rFonts w:ascii="Calibri" w:hAnsi="Calibri" w:eastAsia="宋体" w:cs="宋体"/>
      <w:kern w:val="0"/>
      <w:sz w:val="20"/>
      <w:szCs w:val="20"/>
      <w:lang w:val="zh-CN" w:eastAsia="zh-CN" w:bidi="zh-CN"/>
    </w:rPr>
  </w:style>
  <w:style w:type="paragraph" w:styleId="4">
    <w:name w:val="Body Text"/>
    <w:unhideWhenUsed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标题 1 字符"/>
    <w:basedOn w:val="6"/>
    <w:link w:val="3"/>
    <w:uiPriority w:val="9"/>
    <w:rPr>
      <w:rFonts w:eastAsia="华文中宋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2022-05-27T07:57:00Z</dcterms:created>
  <dc:creator>新闻宣传中心</dc:creator>
  <cp:lastModifiedBy>新闻宣传中心</cp:lastModifiedBy>
  <dcterms:modified xsi:type="dcterms:W3CDTF">2022-05-27T07:57:08Z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73DD2BBE82E143CABA8F9A8E4CD334F2</vt:lpwstr>
  </property>
</Properties>
</file>