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overflowPunct w:val="0"/>
        <w:adjustRightInd w:val="0"/>
        <w:spacing w:before="74" w:after="54" w:line="520" w:lineRule="exact"/>
        <w:ind w:left="153" w:right="131"/>
        <w:rPr>
          <w:rFonts w:ascii="仿宋_GB2312" w:hAnsi="Times New Roman" w:eastAsia="仿宋_GB2312" w:cs="宋体"/>
          <w:sz w:val="28"/>
          <w:szCs w:val="19"/>
        </w:rPr>
      </w:pPr>
      <w:r>
        <w:rPr>
          <w:rFonts w:hint="eastAsia" w:ascii="仿宋_GB2312" w:hAnsi="Times New Roman" w:eastAsia="仿宋_GB2312" w:cs="宋体"/>
          <w:sz w:val="28"/>
          <w:szCs w:val="19"/>
        </w:rPr>
        <w:t>附件2：</w:t>
      </w:r>
    </w:p>
    <w:p>
      <w:pPr>
        <w:kinsoku w:val="0"/>
        <w:overflowPunct w:val="0"/>
        <w:adjustRightInd w:val="0"/>
        <w:spacing w:before="74" w:after="54" w:line="520" w:lineRule="exact"/>
        <w:ind w:left="153" w:right="131"/>
        <w:jc w:val="center"/>
        <w:rPr>
          <w:rFonts w:hint="eastAsia" w:ascii="宋体" w:hAnsi="Times New Roman" w:eastAsia="宋体" w:cs="宋体"/>
          <w:b/>
          <w:bCs/>
          <w:spacing w:val="-1"/>
          <w:sz w:val="32"/>
          <w:szCs w:val="19"/>
        </w:rPr>
      </w:pPr>
      <w:r>
        <w:rPr>
          <w:rFonts w:hint="eastAsia" w:ascii="宋体" w:hAnsi="Times New Roman" w:eastAsia="宋体" w:cs="宋体"/>
          <w:b/>
          <w:bCs/>
          <w:spacing w:val="-1"/>
          <w:sz w:val="32"/>
          <w:szCs w:val="19"/>
        </w:rPr>
        <w:t>福建师范大学协和学院实验室安全</w:t>
      </w:r>
      <w:bookmarkStart w:id="0" w:name="_GoBack"/>
      <w:r>
        <w:rPr>
          <w:rFonts w:hint="eastAsia" w:ascii="宋体" w:hAnsi="Times New Roman" w:eastAsia="宋体" w:cs="宋体"/>
          <w:b/>
          <w:bCs/>
          <w:spacing w:val="-1"/>
          <w:sz w:val="32"/>
          <w:szCs w:val="19"/>
        </w:rPr>
        <w:t>分级</w:t>
      </w:r>
      <w:bookmarkEnd w:id="0"/>
      <w:r>
        <w:rPr>
          <w:rFonts w:hint="eastAsia" w:ascii="宋体" w:hAnsi="Times New Roman" w:eastAsia="宋体" w:cs="宋体"/>
          <w:b/>
          <w:bCs/>
          <w:spacing w:val="-1"/>
          <w:sz w:val="32"/>
          <w:szCs w:val="19"/>
        </w:rPr>
        <w:t>分类表</w:t>
      </w:r>
    </w:p>
    <w:tbl>
      <w:tblPr>
        <w:tblStyle w:val="5"/>
        <w:tblpPr w:leftFromText="180" w:rightFromText="180" w:vertAnchor="text" w:tblpXSpec="center" w:tblpY="1"/>
        <w:tblOverlap w:val="never"/>
        <w:tblW w:w="1624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2"/>
        <w:gridCol w:w="779"/>
        <w:gridCol w:w="1418"/>
        <w:gridCol w:w="1275"/>
        <w:gridCol w:w="1134"/>
        <w:gridCol w:w="1134"/>
        <w:gridCol w:w="851"/>
        <w:gridCol w:w="992"/>
        <w:gridCol w:w="1701"/>
        <w:gridCol w:w="1418"/>
        <w:gridCol w:w="1134"/>
        <w:gridCol w:w="2126"/>
        <w:gridCol w:w="1251"/>
        <w:gridCol w:w="52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150" w:firstLineChars="100"/>
              <w:textAlignment w:val="center"/>
              <w:rPr>
                <w:rFonts w:asci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分类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sz w:val="15"/>
                <w:szCs w:val="15"/>
              </w:rPr>
            </w:pPr>
          </w:p>
          <w:p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sz w:val="15"/>
                <w:szCs w:val="15"/>
              </w:rPr>
            </w:pPr>
          </w:p>
          <w:p>
            <w:pPr>
              <w:widowControl/>
              <w:snapToGrid w:val="0"/>
              <w:textAlignment w:val="center"/>
              <w:rPr>
                <w:rFonts w:asci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分级</w:t>
            </w:r>
          </w:p>
        </w:tc>
        <w:tc>
          <w:tcPr>
            <w:tcW w:w="779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物理类</w:t>
            </w:r>
          </w:p>
        </w:tc>
        <w:tc>
          <w:tcPr>
            <w:tcW w:w="14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机电类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电子类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其他类</w:t>
            </w:r>
          </w:p>
        </w:tc>
        <w:tc>
          <w:tcPr>
            <w:tcW w:w="1112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管理要求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rPr>
                <w:rFonts w:ascii="宋体" w:cs="宋体"/>
                <w:color w:val="000000"/>
                <w:sz w:val="15"/>
                <w:szCs w:val="15"/>
              </w:rPr>
            </w:pPr>
          </w:p>
        </w:tc>
        <w:tc>
          <w:tcPr>
            <w:tcW w:w="77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危险源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规章制度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责任落实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安全准入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安全教育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环境卫生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值日制度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门禁监控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安全巡查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3" w:hRule="atLeast"/>
        </w:trPr>
        <w:tc>
          <w:tcPr>
            <w:tcW w:w="5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一级安全风险实验室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电窑等大功率加热设备（功率≥</w:t>
            </w:r>
            <w:r>
              <w:rPr>
                <w:color w:val="000000"/>
                <w:sz w:val="18"/>
                <w:szCs w:val="18"/>
                <w:lang w:bidi="ar"/>
              </w:rPr>
              <w:t>1000W</w:t>
            </w: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实验室必须进行危险源辨识和风险评估，制定相应的防护措施和应急预案，安全信息牌应明示主要风险源的危险类别、注意事项和防护措施。危险源具体管控措施参照附件</w:t>
            </w:r>
            <w:r>
              <w:rPr>
                <w:color w:val="000000"/>
                <w:sz w:val="18"/>
                <w:szCs w:val="18"/>
                <w:lang w:bidi="ar"/>
              </w:rPr>
              <w:t>1</w:t>
            </w: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。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实验室制定完善的管理制度和详实的操作规程并张挂上墙。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实验室有明确的实验室负责人负责本实验房间的安全管理工作，指定实验室专人对风险较高的仪器设备进行管理。</w:t>
            </w:r>
          </w:p>
        </w:tc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实验人员完成学校实验室安全培训考试系统在线学习、考核合格，通过各实验室准入培训和准入资格认定，并签订实验室安全承诺书后，方可进入实验室。</w:t>
            </w:r>
          </w:p>
        </w:tc>
        <w:tc>
          <w:tcPr>
            <w:tcW w:w="14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实验室负责人对实验人员进行有针对性的实验室安全知识、安全规范及安全操作技能等的培训，组织实验人员每年至少参加一次实验室安全应急演练。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实验人员及时做好实验室的卫生，确保实验室环境整洁、有序。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实验室有值日台账，最后离开实验室的人员检查门、窗、水、气、电等。</w:t>
            </w:r>
            <w:r>
              <w:rPr>
                <w:color w:val="00000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开展评估为重大风险的实验时，必须有导师负责指导，实验人员不能独自进入实验室开展实验，实验过程中全程值守。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存放大功率加热设备等危险源的重点场所需安装门禁和监控设施。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每周至少开展一次安全巡查。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二级安全风险实验室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激光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pacing w:val="-11"/>
                <w:sz w:val="18"/>
                <w:szCs w:val="18"/>
                <w:lang w:bidi="ar"/>
              </w:rPr>
              <w:t>烘箱等加热设备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实验室有明确的实验室负责人负责本实验房间的安全管理工作。</w:t>
            </w: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实验室有值日台账，最后离开实验室的人员检查门、窗、水、气、电等。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存放激光、加热设备等危险源的重点场所需安装门禁和监控设施。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每两周至少开展一次安全巡查。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6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三级安全风险实验室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较多的</w:t>
            </w:r>
            <w:r>
              <w:rPr>
                <w:color w:val="000000"/>
                <w:sz w:val="18"/>
                <w:szCs w:val="18"/>
                <w:lang w:bidi="ar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数量≥</w:t>
            </w:r>
            <w:r>
              <w:rPr>
                <w:color w:val="000000"/>
                <w:sz w:val="18"/>
                <w:szCs w:val="18"/>
                <w:lang w:bidi="ar"/>
              </w:rPr>
              <w:t>10</w:t>
            </w: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）弱电设备、电路板和计算机机房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实验室负责人对实验人员进行有针对性的实验室安全知识、安全规范及安全操作技能等的培训。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2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实验室需配齐备用钥匙，并由专人保管。</w:t>
            </w:r>
          </w:p>
        </w:tc>
        <w:tc>
          <w:tcPr>
            <w:tcW w:w="5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每月至少开展一次安全巡查。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四级安全风险实验室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不涉及上述危险源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实验人员完成学校实验室安全培训考试系统在线学习、考核合格并签订实验室安全承诺书后，方可进入实验室。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实验室负责人对实验人员进行用水用电安全指导。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rPr>
                <w:color w:val="000000"/>
                <w:sz w:val="18"/>
                <w:szCs w:val="18"/>
              </w:rPr>
            </w:pPr>
          </w:p>
        </w:tc>
      </w:tr>
    </w:tbl>
    <w:p/>
    <w:sectPr>
      <w:type w:val="continuous"/>
      <w:pgSz w:w="16840" w:h="11910" w:orient="landscape"/>
      <w:pgMar w:top="720" w:right="720" w:bottom="720" w:left="720" w:header="720" w:footer="720" w:gutter="0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710651"/>
    <w:rsid w:val="000E48C8"/>
    <w:rsid w:val="00183F26"/>
    <w:rsid w:val="00287073"/>
    <w:rsid w:val="0054611F"/>
    <w:rsid w:val="00710651"/>
    <w:rsid w:val="00903FED"/>
    <w:rsid w:val="00AB5647"/>
    <w:rsid w:val="00AF77CC"/>
    <w:rsid w:val="00D57648"/>
    <w:rsid w:val="3BF03E99"/>
    <w:rsid w:val="68AB1C19"/>
    <w:rsid w:val="716B1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61" w:after="34"/>
      <w:ind w:left="142" w:right="136"/>
      <w:jc w:val="center"/>
    </w:pPr>
    <w:rPr>
      <w:rFonts w:ascii="宋体" w:hAnsi="宋体" w:eastAsia="宋体" w:cs="宋体"/>
      <w:b/>
      <w:bCs/>
      <w:sz w:val="16"/>
      <w:szCs w:val="16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页眉 字符"/>
    <w:basedOn w:val="6"/>
    <w:link w:val="4"/>
    <w:qFormat/>
    <w:uiPriority w:val="99"/>
    <w:rPr>
      <w:rFonts w:ascii="仿宋" w:hAnsi="仿宋" w:eastAsia="仿宋" w:cs="仿宋"/>
      <w:sz w:val="18"/>
      <w:szCs w:val="18"/>
      <w:lang w:eastAsia="zh-CN"/>
    </w:rPr>
  </w:style>
  <w:style w:type="character" w:customStyle="1" w:styleId="11">
    <w:name w:val="页脚 字符"/>
    <w:basedOn w:val="6"/>
    <w:link w:val="3"/>
    <w:qFormat/>
    <w:uiPriority w:val="99"/>
    <w:rPr>
      <w:rFonts w:ascii="仿宋" w:hAnsi="仿宋" w:eastAsia="仿宋" w:cs="仿宋"/>
      <w:sz w:val="18"/>
      <w:szCs w:val="1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824</Characters>
  <Lines>6</Lines>
  <Paragraphs>1</Paragraphs>
  <TotalTime>0</TotalTime>
  <ScaleCrop>false</ScaleCrop>
  <LinksUpToDate>false</LinksUpToDate>
  <CharactersWithSpaces>967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2023-04-12T03:27:00Z</dcterms:created>
  <dc:creator>Administrator</dc:creator>
  <cp:lastModifiedBy>zbiao</cp:lastModifiedBy>
  <dcterms:modified xsi:type="dcterms:W3CDTF">2023-04-23T02:24:11Z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2021-05-12T00:00:00Z</vt:filetime>
  </property>
  <property fmtid="{D5CDD505-2E9C-101B-9397-08002B2CF9AE}" pid="3" name="Creator">
    <vt:lpwstr>WPS 表格</vt:lpwstr>
  </property>
  <property fmtid="{D5CDD505-2E9C-101B-9397-08002B2CF9AE}" pid="4" name="LastSaved">
    <vt:filetime>2023-04-12T00:00:00Z</vt:filetime>
  </property>
  <property fmtid="{D5CDD505-2E9C-101B-9397-08002B2CF9AE}" pid="5" name="SourceModified">
    <vt:lpwstr>D:20210512143142+06'31'</vt:lpwstr>
  </property>
  <property fmtid="{D5CDD505-2E9C-101B-9397-08002B2CF9AE}" pid="6" name="KSOProductBuildVer">
    <vt:lpwstr>2052-11.8.6.11825</vt:lpwstr>
  </property>
  <property fmtid="{D5CDD505-2E9C-101B-9397-08002B2CF9AE}" pid="7" name="ICV">
    <vt:lpwstr>AB894E214DFE4684950D72B256307B7A</vt:lpwstr>
  </property>
</Properties>
</file>