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pacing w:before="64" w:line="520" w:lineRule="exact"/>
        <w:ind w:left="153" w:right="9063"/>
        <w:jc w:val="left"/>
        <w:rPr>
          <w:rFonts w:ascii="仿宋_GB2312" w:hAnsi="Times New Roman" w:eastAsia="仿宋_GB2312" w:cs="宋体"/>
          <w:spacing w:val="-5"/>
          <w:kern w:val="0"/>
          <w:sz w:val="28"/>
          <w:szCs w:val="19"/>
        </w:rPr>
      </w:pPr>
      <w:r>
        <w:rPr>
          <w:rFonts w:hint="eastAsia" w:ascii="仿宋_GB2312" w:hAnsi="Times New Roman" w:eastAsia="仿宋_GB2312" w:cs="宋体"/>
          <w:kern w:val="0"/>
          <w:sz w:val="28"/>
          <w:szCs w:val="19"/>
        </w:rPr>
        <w:t>附件</w:t>
      </w:r>
      <w:r>
        <w:rPr>
          <w:rFonts w:hint="eastAsia" w:ascii="仿宋_GB2312" w:hAnsi="Times New Roman" w:eastAsia="仿宋_GB2312" w:cs="宋体"/>
          <w:spacing w:val="-5"/>
          <w:kern w:val="0"/>
          <w:sz w:val="28"/>
          <w:szCs w:val="19"/>
        </w:rPr>
        <w:t>1：</w:t>
      </w:r>
    </w:p>
    <w:p>
      <w:pPr>
        <w:kinsoku w:val="0"/>
        <w:overflowPunct w:val="0"/>
        <w:autoSpaceDE w:val="0"/>
        <w:autoSpaceDN w:val="0"/>
        <w:adjustRightInd w:val="0"/>
        <w:spacing w:before="74" w:after="54" w:line="520" w:lineRule="exact"/>
        <w:ind w:left="153" w:right="131"/>
        <w:jc w:val="center"/>
        <w:rPr>
          <w:rFonts w:ascii="宋体" w:hAnsi="Times New Roman" w:eastAsia="宋体" w:cs="宋体"/>
          <w:b/>
          <w:bCs/>
          <w:spacing w:val="-1"/>
          <w:kern w:val="0"/>
          <w:sz w:val="32"/>
          <w:szCs w:val="19"/>
        </w:rPr>
      </w:pPr>
      <w:r>
        <w:rPr>
          <w:rFonts w:hint="eastAsia" w:ascii="宋体" w:hAnsi="Times New Roman" w:eastAsia="宋体" w:cs="宋体"/>
          <w:b/>
          <w:bCs/>
          <w:spacing w:val="-1"/>
          <w:kern w:val="0"/>
          <w:sz w:val="32"/>
          <w:szCs w:val="19"/>
        </w:rPr>
        <w:t>福建师范大学协和学院实验室危险源</w:t>
      </w:r>
      <w:bookmarkStart w:id="0" w:name="_GoBack"/>
      <w:r>
        <w:rPr>
          <w:rFonts w:hint="eastAsia" w:ascii="宋体" w:hAnsi="Times New Roman" w:eastAsia="宋体" w:cs="宋体"/>
          <w:b/>
          <w:bCs/>
          <w:spacing w:val="-1"/>
          <w:kern w:val="0"/>
          <w:sz w:val="32"/>
          <w:szCs w:val="19"/>
        </w:rPr>
        <w:t>分级</w:t>
      </w:r>
      <w:bookmarkEnd w:id="0"/>
      <w:r>
        <w:rPr>
          <w:rFonts w:hint="eastAsia" w:ascii="宋体" w:hAnsi="Times New Roman" w:eastAsia="宋体" w:cs="宋体"/>
          <w:b/>
          <w:bCs/>
          <w:spacing w:val="-1"/>
          <w:kern w:val="0"/>
          <w:sz w:val="32"/>
          <w:szCs w:val="19"/>
        </w:rPr>
        <w:t>分类表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2409"/>
        <w:gridCol w:w="8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危险源类别</w:t>
            </w:r>
          </w:p>
        </w:tc>
        <w:tc>
          <w:tcPr>
            <w:tcW w:w="1560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危险源安全风险等级</w:t>
            </w:r>
          </w:p>
        </w:tc>
        <w:tc>
          <w:tcPr>
            <w:tcW w:w="2409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危险源名称</w:t>
            </w:r>
          </w:p>
        </w:tc>
        <w:tc>
          <w:tcPr>
            <w:tcW w:w="8927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危险源管控措施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物理类</w:t>
            </w:r>
          </w:p>
        </w:tc>
        <w:tc>
          <w:tcPr>
            <w:tcW w:w="1560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二级</w:t>
            </w:r>
          </w:p>
        </w:tc>
        <w:tc>
          <w:tcPr>
            <w:tcW w:w="2409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激光</w:t>
            </w:r>
          </w:p>
        </w:tc>
        <w:tc>
          <w:tcPr>
            <w:tcW w:w="8927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left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Times New Roman" w:eastAsia="仿宋_GB2312" w:cs="宋体"/>
                <w:b/>
                <w:bCs/>
                <w:spacing w:val="-1"/>
                <w:kern w:val="0"/>
                <w:sz w:val="24"/>
                <w:szCs w:val="24"/>
              </w:rPr>
              <w:t>防护措施</w:t>
            </w: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：有明显的安全警示标识，激光实验室配有完备的安全屏蔽设施，激光实验时须穿戴防护眼镜等防护用品、不带手表等能反光的物品；激光区域内张贴警告标志。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left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Times New Roman" w:eastAsia="仿宋_GB2312" w:cs="宋体"/>
                <w:b/>
                <w:bCs/>
                <w:spacing w:val="-1"/>
                <w:kern w:val="0"/>
                <w:sz w:val="24"/>
                <w:szCs w:val="24"/>
              </w:rPr>
              <w:t>日常管理</w:t>
            </w: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：实验结束后及时关闭仪器设备。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机电类</w:t>
            </w:r>
          </w:p>
        </w:tc>
        <w:tc>
          <w:tcPr>
            <w:tcW w:w="1560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一级</w:t>
            </w:r>
          </w:p>
        </w:tc>
        <w:tc>
          <w:tcPr>
            <w:tcW w:w="2409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大功率加热设备（功率≥</w:t>
            </w: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1000W）</w:t>
            </w:r>
          </w:p>
        </w:tc>
        <w:tc>
          <w:tcPr>
            <w:tcW w:w="8927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left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Times New Roman" w:eastAsia="仿宋_GB2312" w:cs="宋体"/>
                <w:b/>
                <w:bCs/>
                <w:spacing w:val="-1"/>
                <w:kern w:val="0"/>
                <w:sz w:val="24"/>
                <w:szCs w:val="24"/>
              </w:rPr>
              <w:t>防护措施</w:t>
            </w: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：加热设备周边张贴有高温警示标识并有必要的防护措施。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left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Times New Roman" w:eastAsia="仿宋_GB2312" w:cs="宋体"/>
                <w:b/>
                <w:bCs/>
                <w:spacing w:val="-1"/>
                <w:kern w:val="0"/>
                <w:sz w:val="24"/>
                <w:szCs w:val="24"/>
              </w:rPr>
              <w:t>日常管理</w:t>
            </w: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大功率</w:t>
            </w: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加热设备附近不存放气体钢瓶、易燃易爆化学品，周围不堆放杂物，使用时要有人值守。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29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二级</w:t>
            </w:r>
          </w:p>
        </w:tc>
        <w:tc>
          <w:tcPr>
            <w:tcW w:w="2409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烘箱等加热设备</w:t>
            </w:r>
          </w:p>
        </w:tc>
        <w:tc>
          <w:tcPr>
            <w:tcW w:w="8927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left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spacing w:val="-1"/>
                <w:kern w:val="0"/>
                <w:sz w:val="24"/>
                <w:szCs w:val="24"/>
              </w:rPr>
              <w:t>日常管理</w:t>
            </w: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：不在烘箱等加热设备内烘烤易燃易爆化学试剂、塑料制品等易燃物品。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电子类</w:t>
            </w:r>
          </w:p>
        </w:tc>
        <w:tc>
          <w:tcPr>
            <w:tcW w:w="1560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三级</w:t>
            </w:r>
          </w:p>
        </w:tc>
        <w:tc>
          <w:tcPr>
            <w:tcW w:w="2409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较多的（数量≥</w:t>
            </w: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10）弱电设备、电路板和计算机机房</w:t>
            </w:r>
          </w:p>
        </w:tc>
        <w:tc>
          <w:tcPr>
            <w:tcW w:w="8927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left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Times New Roman" w:eastAsia="仿宋_GB2312" w:cs="宋体"/>
                <w:b/>
                <w:bCs/>
                <w:spacing w:val="-1"/>
                <w:kern w:val="0"/>
                <w:sz w:val="24"/>
                <w:szCs w:val="24"/>
              </w:rPr>
              <w:t>安全用电</w:t>
            </w: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：实验室电容量、插头插座与用电设备功率需匹配，不得私自改装。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left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Times New Roman" w:eastAsia="仿宋_GB2312" w:cs="宋体"/>
                <w:b/>
                <w:bCs/>
                <w:spacing w:val="-1"/>
                <w:kern w:val="0"/>
                <w:sz w:val="24"/>
                <w:szCs w:val="24"/>
              </w:rPr>
              <w:t>日常管理</w:t>
            </w:r>
            <w:r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：不私自乱拉乱接电线电缆，无线路老化、多个接线板串接供电、接线板直接置于地面等现象；仪器设备长期不用应切断电源。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560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四级</w:t>
            </w:r>
          </w:p>
        </w:tc>
        <w:tc>
          <w:tcPr>
            <w:tcW w:w="2409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center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不涉及上述危险源</w:t>
            </w:r>
          </w:p>
        </w:tc>
        <w:tc>
          <w:tcPr>
            <w:tcW w:w="8927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4" w:after="54"/>
              <w:ind w:right="131"/>
              <w:jc w:val="left"/>
              <w:rPr>
                <w:rFonts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spacing w:val="-1"/>
                <w:kern w:val="0"/>
                <w:sz w:val="24"/>
                <w:szCs w:val="24"/>
              </w:rPr>
              <w:t>安全用水用电。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CD"/>
    <w:rsid w:val="00131BAB"/>
    <w:rsid w:val="00195ECD"/>
    <w:rsid w:val="001C7AD8"/>
    <w:rsid w:val="005A1C56"/>
    <w:rsid w:val="00907DD7"/>
    <w:rsid w:val="00D26525"/>
    <w:rsid w:val="00F21A80"/>
    <w:rsid w:val="198331FC"/>
    <w:rsid w:val="1E7A3B9E"/>
    <w:rsid w:val="539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2023-04-12T03:37:00Z</dcterms:created>
  <dc:creator>Windows 用户</dc:creator>
  <cp:lastModifiedBy>zbiao</cp:lastModifiedBy>
  <dcterms:modified xsi:type="dcterms:W3CDTF">2023-04-23T02:24:24Z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790146A14A46412A930A4AD1509FE6B2</vt:lpwstr>
  </property>
</Properties>
</file>